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F58C" w14:textId="77777777" w:rsidR="001E71E2" w:rsidRDefault="001E71E2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8547B2B" w14:textId="2E9E5EC2" w:rsidR="00E05BAE" w:rsidRDefault="00C7282B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TERMO DE REFERÊNCIA</w:t>
      </w:r>
    </w:p>
    <w:p w14:paraId="17804331" w14:textId="77777777" w:rsidR="001E71E2" w:rsidRPr="000B48FC" w:rsidRDefault="001E71E2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24917D5" w14:textId="41A0B6B8" w:rsidR="00C7282B" w:rsidRPr="000B48FC" w:rsidRDefault="00D126ED" w:rsidP="00AD236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APRESENTAÇÃO DO OBJETO</w:t>
      </w:r>
    </w:p>
    <w:p w14:paraId="59C14ACB" w14:textId="1B436F50" w:rsidR="001E79B9" w:rsidRPr="00817504" w:rsidRDefault="001E79B9" w:rsidP="00AD2369">
      <w:pPr>
        <w:spacing w:line="360" w:lineRule="auto"/>
        <w:ind w:firstLine="851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A presente contratação tem como objeto a </w:t>
      </w:r>
      <w:r w:rsidR="00E51720" w:rsidRPr="00817504">
        <w:rPr>
          <w:rFonts w:ascii="Cambria" w:hAnsi="Cambria" w:cs="Calibri"/>
          <w:b/>
          <w:bCs/>
        </w:rPr>
        <w:t xml:space="preserve">CONTRATAÇÃO DE EMPRESA PARA </w:t>
      </w:r>
      <w:r w:rsidR="00405B7C" w:rsidRPr="00817504">
        <w:rPr>
          <w:rFonts w:ascii="Cambria" w:hAnsi="Cambria" w:cs="Calibri"/>
          <w:b/>
          <w:bCs/>
        </w:rPr>
        <w:t>PRESTAÇÃO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PI.</w:t>
      </w:r>
      <w:r w:rsidR="00385C68" w:rsidRPr="00817504">
        <w:rPr>
          <w:rFonts w:ascii="Cambria" w:hAnsi="Cambria" w:cs="Times New Roman"/>
        </w:rPr>
        <w:t xml:space="preserve"> </w:t>
      </w:r>
      <w:r w:rsidR="003E7282" w:rsidRPr="00817504">
        <w:rPr>
          <w:rFonts w:ascii="Cambria" w:hAnsi="Cambria" w:cs="Times New Roman"/>
        </w:rPr>
        <w:t xml:space="preserve">A </w:t>
      </w:r>
      <w:r w:rsidR="00E51720" w:rsidRPr="00817504">
        <w:rPr>
          <w:rFonts w:ascii="Cambria" w:hAnsi="Cambria" w:cs="Times New Roman"/>
        </w:rPr>
        <w:t xml:space="preserve">contratação dos serviços acima </w:t>
      </w:r>
      <w:r w:rsidR="003E7282" w:rsidRPr="00817504">
        <w:rPr>
          <w:rFonts w:ascii="Cambria" w:hAnsi="Cambria" w:cs="Times New Roman"/>
        </w:rPr>
        <w:t>justifica</w:t>
      </w:r>
      <w:r w:rsidR="00E51720" w:rsidRPr="00817504">
        <w:rPr>
          <w:rFonts w:ascii="Cambria" w:hAnsi="Cambria" w:cs="Times New Roman"/>
        </w:rPr>
        <w:t>-se</w:t>
      </w:r>
      <w:r w:rsidR="003E7282" w:rsidRPr="00817504">
        <w:rPr>
          <w:rFonts w:ascii="Cambria" w:hAnsi="Cambria" w:cs="Times New Roman"/>
        </w:rPr>
        <w:t xml:space="preserve"> pela necessidade </w:t>
      </w:r>
      <w:r w:rsidR="00E51720" w:rsidRPr="00817504">
        <w:rPr>
          <w:rFonts w:ascii="Cambria" w:hAnsi="Cambria" w:cs="Times New Roman"/>
        </w:rPr>
        <w:t>da correta adoção de medidas administrativas e legais que estão em conformidade com as exigências legais para a garantir que não haja perda de recursos devido ao descumprimento de requisitos.</w:t>
      </w:r>
    </w:p>
    <w:p w14:paraId="269A9925" w14:textId="44FF278A" w:rsidR="00613EB3" w:rsidRPr="000B48FC" w:rsidRDefault="00613EB3" w:rsidP="00AD2369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  <w:t>DESCRIÇÃO DETALHADA DO OBJETO</w:t>
      </w:r>
    </w:p>
    <w:p w14:paraId="44052BC3" w14:textId="77777777" w:rsidR="00613EB3" w:rsidRDefault="00613EB3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right="512"/>
        <w:jc w:val="both"/>
        <w:rPr>
          <w:rFonts w:ascii="Cambria" w:eastAsia="Cambria" w:hAnsi="Cambria" w:cs="Cambria"/>
          <w:b/>
          <w:kern w:val="0"/>
          <w:lang w:val="pt-PT"/>
          <w14:ligatures w14:val="none"/>
        </w:rPr>
      </w:pPr>
    </w:p>
    <w:tbl>
      <w:tblPr>
        <w:tblStyle w:val="Tabelacomgrade1"/>
        <w:tblW w:w="9736" w:type="dxa"/>
        <w:jc w:val="center"/>
        <w:tblLook w:val="04A0" w:firstRow="1" w:lastRow="0" w:firstColumn="1" w:lastColumn="0" w:noHBand="0" w:noVBand="1"/>
      </w:tblPr>
      <w:tblGrid>
        <w:gridCol w:w="747"/>
        <w:gridCol w:w="2957"/>
        <w:gridCol w:w="993"/>
        <w:gridCol w:w="1133"/>
        <w:gridCol w:w="1973"/>
        <w:gridCol w:w="1933"/>
      </w:tblGrid>
      <w:tr w:rsidR="00E51720" w:rsidRPr="00DA7D93" w14:paraId="48B54BB9" w14:textId="0F851577" w:rsidTr="000B48FC">
        <w:trPr>
          <w:trHeight w:val="577"/>
          <w:jc w:val="center"/>
        </w:trPr>
        <w:tc>
          <w:tcPr>
            <w:tcW w:w="704" w:type="dxa"/>
          </w:tcPr>
          <w:p w14:paraId="4FA65347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ITEM</w:t>
            </w:r>
          </w:p>
        </w:tc>
        <w:tc>
          <w:tcPr>
            <w:tcW w:w="2974" w:type="dxa"/>
          </w:tcPr>
          <w:p w14:paraId="3AD5B3C5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DESCRIÇÃO</w:t>
            </w:r>
          </w:p>
        </w:tc>
        <w:tc>
          <w:tcPr>
            <w:tcW w:w="995" w:type="dxa"/>
          </w:tcPr>
          <w:p w14:paraId="5BE4E9B9" w14:textId="77777777" w:rsidR="00E51720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QUAN</w:t>
            </w:r>
            <w:r>
              <w:rPr>
                <w:rFonts w:ascii="Cambria" w:eastAsia="Calibri" w:hAnsi="Cambria"/>
                <w:b/>
                <w:bCs/>
              </w:rPr>
              <w:t xml:space="preserve">. </w:t>
            </w:r>
          </w:p>
          <w:p w14:paraId="335E5267" w14:textId="6D7FD395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MESES</w:t>
            </w:r>
          </w:p>
        </w:tc>
        <w:tc>
          <w:tcPr>
            <w:tcW w:w="1134" w:type="dxa"/>
          </w:tcPr>
          <w:p w14:paraId="448BF7FC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UND</w:t>
            </w:r>
          </w:p>
        </w:tc>
        <w:tc>
          <w:tcPr>
            <w:tcW w:w="1985" w:type="dxa"/>
          </w:tcPr>
          <w:p w14:paraId="1F52EE9D" w14:textId="0934D1C3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V. UNIT</w:t>
            </w:r>
          </w:p>
        </w:tc>
        <w:tc>
          <w:tcPr>
            <w:tcW w:w="1944" w:type="dxa"/>
          </w:tcPr>
          <w:p w14:paraId="7F953564" w14:textId="5482F51C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V.TOTAL</w:t>
            </w:r>
          </w:p>
        </w:tc>
      </w:tr>
      <w:tr w:rsidR="00E51720" w:rsidRPr="00DA7D93" w14:paraId="44EF5178" w14:textId="1A2E4241" w:rsidTr="000B48FC">
        <w:trPr>
          <w:trHeight w:val="3160"/>
          <w:jc w:val="center"/>
        </w:trPr>
        <w:tc>
          <w:tcPr>
            <w:tcW w:w="704" w:type="dxa"/>
          </w:tcPr>
          <w:p w14:paraId="6E26D57E" w14:textId="77777777" w:rsidR="00E51720" w:rsidRPr="00DA7D93" w:rsidRDefault="00E51720" w:rsidP="007570C0">
            <w:pPr>
              <w:rPr>
                <w:rFonts w:ascii="Cambria" w:eastAsia="Calibri" w:hAnsi="Cambria"/>
              </w:rPr>
            </w:pPr>
            <w:r w:rsidRPr="00DA7D93">
              <w:rPr>
                <w:rFonts w:ascii="Cambria" w:eastAsia="Calibri" w:hAnsi="Cambria"/>
              </w:rPr>
              <w:t>01</w:t>
            </w:r>
          </w:p>
        </w:tc>
        <w:tc>
          <w:tcPr>
            <w:tcW w:w="2974" w:type="dxa"/>
          </w:tcPr>
          <w:p w14:paraId="62D92215" w14:textId="3A94A773" w:rsidR="00E51720" w:rsidRPr="00DA7D93" w:rsidRDefault="00405B7C" w:rsidP="007570C0">
            <w:pPr>
              <w:jc w:val="both"/>
              <w:rPr>
                <w:rFonts w:ascii="Cambria" w:eastAsia="Calibri" w:hAnsi="Cambria"/>
              </w:rPr>
            </w:pPr>
            <w:r>
              <w:rPr>
                <w:rFonts w:ascii="Cambria" w:hAnsi="Cambria" w:cs="Calibri"/>
              </w:rPr>
              <w:t>P</w:t>
            </w:r>
            <w:r w:rsidRPr="00405B7C">
              <w:rPr>
                <w:rFonts w:ascii="Cambria" w:hAnsi="Cambria" w:cs="Calibri"/>
              </w:rPr>
              <w:t>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PI.</w:t>
            </w:r>
          </w:p>
        </w:tc>
        <w:tc>
          <w:tcPr>
            <w:tcW w:w="995" w:type="dxa"/>
          </w:tcPr>
          <w:p w14:paraId="3EFD5B44" w14:textId="31F2618A" w:rsidR="00E51720" w:rsidRPr="00DA7D93" w:rsidRDefault="00405B7C" w:rsidP="007570C0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12</w:t>
            </w:r>
          </w:p>
        </w:tc>
        <w:tc>
          <w:tcPr>
            <w:tcW w:w="1134" w:type="dxa"/>
          </w:tcPr>
          <w:p w14:paraId="18A31F2A" w14:textId="77777777" w:rsidR="00E51720" w:rsidRPr="00DA7D93" w:rsidRDefault="00E51720" w:rsidP="007570C0">
            <w:pPr>
              <w:rPr>
                <w:rFonts w:ascii="Cambria" w:eastAsia="Calibri" w:hAnsi="Cambria"/>
              </w:rPr>
            </w:pPr>
            <w:r w:rsidRPr="00DA7D93">
              <w:rPr>
                <w:rFonts w:ascii="Cambria" w:eastAsia="Calibri" w:hAnsi="Cambria"/>
              </w:rPr>
              <w:t>SERVIÇO</w:t>
            </w:r>
          </w:p>
        </w:tc>
        <w:tc>
          <w:tcPr>
            <w:tcW w:w="1985" w:type="dxa"/>
          </w:tcPr>
          <w:p w14:paraId="3B7C05FA" w14:textId="78041716" w:rsidR="00E51720" w:rsidRPr="00405B7C" w:rsidRDefault="00E51720" w:rsidP="007570C0">
            <w:pPr>
              <w:rPr>
                <w:rFonts w:ascii="Cambria" w:eastAsia="Calibri" w:hAnsi="Cambria"/>
                <w:highlight w:val="yellow"/>
              </w:rPr>
            </w:pPr>
            <w:r w:rsidRPr="00001CF2">
              <w:rPr>
                <w:rFonts w:ascii="Cambria" w:eastAsia="Calibri" w:hAnsi="Cambria"/>
              </w:rPr>
              <w:t xml:space="preserve">R$ </w:t>
            </w:r>
            <w:r w:rsidR="00001CF2">
              <w:rPr>
                <w:rFonts w:ascii="Cambria" w:eastAsia="Calibri" w:hAnsi="Cambria"/>
              </w:rPr>
              <w:t>4.725,00 (quatro mil, setecentos e vinte e cinco reais)</w:t>
            </w:r>
          </w:p>
        </w:tc>
        <w:tc>
          <w:tcPr>
            <w:tcW w:w="1944" w:type="dxa"/>
          </w:tcPr>
          <w:p w14:paraId="7BB07414" w14:textId="5C1DA306" w:rsidR="00E51720" w:rsidRPr="00405B7C" w:rsidRDefault="00001CF2" w:rsidP="007570C0">
            <w:pPr>
              <w:rPr>
                <w:rFonts w:ascii="Cambria" w:eastAsia="Calibri" w:hAnsi="Cambria"/>
                <w:highlight w:val="yellow"/>
              </w:rPr>
            </w:pPr>
            <w:r>
              <w:rPr>
                <w:rFonts w:ascii="Cambria" w:eastAsia="Calibri" w:hAnsi="Cambria"/>
              </w:rPr>
              <w:t>R</w:t>
            </w:r>
            <w:r w:rsidR="00E51720" w:rsidRPr="00001CF2">
              <w:rPr>
                <w:rFonts w:ascii="Cambria" w:eastAsia="Calibri" w:hAnsi="Cambria"/>
              </w:rPr>
              <w:t xml:space="preserve">$ </w:t>
            </w:r>
            <w:r>
              <w:rPr>
                <w:rFonts w:ascii="Cambria" w:eastAsia="Calibri" w:hAnsi="Cambria"/>
              </w:rPr>
              <w:t>56.700,00 (cinquenta e seis mil, setecentos reais)</w:t>
            </w:r>
          </w:p>
        </w:tc>
      </w:tr>
    </w:tbl>
    <w:p w14:paraId="7DB512AE" w14:textId="77777777" w:rsidR="00613EB3" w:rsidRPr="00D75712" w:rsidRDefault="00613EB3" w:rsidP="003E7282">
      <w:pPr>
        <w:jc w:val="both"/>
        <w:rPr>
          <w:rFonts w:ascii="Cambria" w:hAnsi="Cambria"/>
        </w:rPr>
      </w:pPr>
    </w:p>
    <w:p w14:paraId="2AC632CD" w14:textId="7762A8AA" w:rsidR="001E79B9" w:rsidRPr="000B48FC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lastRenderedPageBreak/>
        <w:t>JUSTIFICATIVA DO OBJETO</w:t>
      </w:r>
    </w:p>
    <w:p w14:paraId="226DB6F9" w14:textId="71A45D0D" w:rsidR="003E7282" w:rsidRPr="00817504" w:rsidRDefault="003E7282" w:rsidP="00AD2369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817504">
        <w:rPr>
          <w:rFonts w:cs="Times New Roman"/>
          <w:sz w:val="22"/>
          <w:szCs w:val="22"/>
        </w:rPr>
        <w:t xml:space="preserve">A Prefeitura Municipal de Vera Mendes-PI, em face da necessidade de </w:t>
      </w:r>
      <w:r w:rsidR="00E51720" w:rsidRPr="00817504">
        <w:rPr>
          <w:rFonts w:cs="Calibri"/>
          <w:b/>
          <w:bCs/>
          <w:sz w:val="22"/>
          <w:szCs w:val="22"/>
        </w:rPr>
        <w:t xml:space="preserve">CONTRATAÇÃO DE EMPRESA PARA </w:t>
      </w:r>
      <w:r w:rsidR="00405B7C" w:rsidRPr="00817504">
        <w:rPr>
          <w:rFonts w:cs="Calibri"/>
          <w:b/>
          <w:bCs/>
          <w:sz w:val="22"/>
          <w:szCs w:val="22"/>
        </w:rPr>
        <w:t>PRESTAÇÃO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- PI</w:t>
      </w:r>
      <w:r w:rsidRPr="00817504">
        <w:rPr>
          <w:rFonts w:cs="Times New Roman"/>
          <w:sz w:val="22"/>
          <w:szCs w:val="22"/>
        </w:rPr>
        <w:t>, justifica</w:t>
      </w:r>
      <w:r w:rsidR="00E51720" w:rsidRPr="00817504">
        <w:rPr>
          <w:rFonts w:cs="Times New Roman"/>
          <w:sz w:val="22"/>
          <w:szCs w:val="22"/>
        </w:rPr>
        <w:t>-se devido a necessidade de</w:t>
      </w:r>
      <w:r w:rsidR="00405B7C" w:rsidRPr="00817504">
        <w:rPr>
          <w:rFonts w:cs="Times New Roman"/>
          <w:sz w:val="22"/>
          <w:szCs w:val="22"/>
        </w:rPr>
        <w:t xml:space="preserve"> assegurar o pleno cumprimento das exigências legais</w:t>
      </w:r>
      <w:r w:rsidRPr="00817504">
        <w:rPr>
          <w:rFonts w:cs="Times New Roman"/>
          <w:sz w:val="22"/>
          <w:szCs w:val="22"/>
        </w:rPr>
        <w:t xml:space="preserve">. </w:t>
      </w:r>
    </w:p>
    <w:p w14:paraId="5137E42A" w14:textId="1D08CC5C" w:rsidR="003E7282" w:rsidRPr="00817504" w:rsidRDefault="00405B7C" w:rsidP="00405B7C">
      <w:pPr>
        <w:pStyle w:val="PargrafodaLista"/>
        <w:spacing w:before="240" w:line="360" w:lineRule="auto"/>
        <w:ind w:left="0"/>
        <w:jc w:val="both"/>
        <w:rPr>
          <w:rFonts w:ascii="Cambria" w:hAnsi="Cambria" w:cs="Calibri"/>
        </w:rPr>
      </w:pPr>
      <w:r w:rsidRPr="00817504">
        <w:rPr>
          <w:rFonts w:ascii="Cambria" w:hAnsi="Cambria" w:cs="Calibri"/>
        </w:rPr>
        <w:t xml:space="preserve">A contratação de serviços técnicos especializados para a gestão de convênios, contratos de repasse e termos de compromissos nas plataformas </w:t>
      </w:r>
      <w:r w:rsidRPr="00817504">
        <w:rPr>
          <w:rFonts w:ascii="Cambria" w:eastAsia="Times New Roman" w:hAnsi="Cambria" w:cs="Calibri"/>
          <w:b/>
          <w:bCs/>
        </w:rPr>
        <w:t>TRANSFEREGOV</w:t>
      </w:r>
      <w:r w:rsidRPr="00817504">
        <w:rPr>
          <w:rFonts w:ascii="Cambria" w:hAnsi="Cambria" w:cs="Calibri"/>
        </w:rPr>
        <w:t xml:space="preserve">, </w:t>
      </w:r>
      <w:r w:rsidRPr="00817504">
        <w:rPr>
          <w:rFonts w:ascii="Cambria" w:eastAsia="Times New Roman" w:hAnsi="Cambria" w:cs="Calibri"/>
          <w:b/>
          <w:bCs/>
        </w:rPr>
        <w:t>SIGA-FUNASA</w:t>
      </w:r>
      <w:r w:rsidRPr="00817504">
        <w:rPr>
          <w:rFonts w:ascii="Cambria" w:hAnsi="Cambria" w:cs="Calibri"/>
        </w:rPr>
        <w:t xml:space="preserve"> e </w:t>
      </w:r>
      <w:r w:rsidRPr="00817504">
        <w:rPr>
          <w:rFonts w:ascii="Cambria" w:eastAsia="Times New Roman" w:hAnsi="Cambria" w:cs="Calibri"/>
          <w:b/>
          <w:bCs/>
        </w:rPr>
        <w:t>SIGRP</w:t>
      </w:r>
      <w:r w:rsidRPr="00817504">
        <w:rPr>
          <w:rFonts w:ascii="Cambria" w:hAnsi="Cambria" w:cs="Calibri"/>
        </w:rPr>
        <w:t xml:space="preserve"> é fundamental para garantir a boa aplicação dos recursos públicos, otimizar a gestão e assegurar a conformidade da Prefeitura Municipal de Vera Mendes - PI com as exigências legais e administrativas. A consultoria proporcionará segurança jurídica, eficiência operacional e transparência na execução de convênios, melhorando a capacidade técnica da gestão municipal e promovendo o uso responsável e eficaz dos recursos federais e estaduais.</w:t>
      </w:r>
    </w:p>
    <w:p w14:paraId="39DDF682" w14:textId="6817A0E4" w:rsidR="00385C68" w:rsidRPr="00817504" w:rsidRDefault="003E7282" w:rsidP="00AD2369">
      <w:pPr>
        <w:spacing w:line="360" w:lineRule="auto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Destarte, imperiosa a necessidade de se contratar empresa especializada que tenha estrutura, material e equipamentos condizentes com </w:t>
      </w:r>
      <w:r w:rsidR="00EA12DC" w:rsidRPr="00817504">
        <w:rPr>
          <w:rFonts w:ascii="Cambria" w:hAnsi="Cambria" w:cs="Times New Roman"/>
        </w:rPr>
        <w:t>a execução</w:t>
      </w:r>
      <w:r w:rsidRPr="00817504">
        <w:rPr>
          <w:rFonts w:ascii="Cambria" w:hAnsi="Cambria" w:cs="Times New Roman"/>
        </w:rPr>
        <w:t xml:space="preserve"> satisfatóri</w:t>
      </w:r>
      <w:r w:rsidR="00EA12DC" w:rsidRPr="00817504">
        <w:rPr>
          <w:rFonts w:ascii="Cambria" w:hAnsi="Cambria" w:cs="Times New Roman"/>
        </w:rPr>
        <w:t>a</w:t>
      </w:r>
      <w:r w:rsidRPr="00817504">
        <w:rPr>
          <w:rFonts w:ascii="Cambria" w:hAnsi="Cambria" w:cs="Times New Roman"/>
        </w:rPr>
        <w:t xml:space="preserve"> destes</w:t>
      </w:r>
      <w:r w:rsidR="00EA12DC" w:rsidRPr="00817504">
        <w:rPr>
          <w:rFonts w:ascii="Cambria" w:hAnsi="Cambria" w:cs="Times New Roman"/>
        </w:rPr>
        <w:t xml:space="preserve"> serviços</w:t>
      </w:r>
      <w:r w:rsidRPr="00817504">
        <w:rPr>
          <w:rFonts w:ascii="Cambria" w:hAnsi="Cambria" w:cs="Times New Roman"/>
        </w:rPr>
        <w:t xml:space="preserve"> para o funcionamento regular desta Administração Pública</w:t>
      </w:r>
      <w:r w:rsidR="00385C68" w:rsidRPr="00817504">
        <w:rPr>
          <w:rFonts w:ascii="Cambria" w:hAnsi="Cambria" w:cs="Times New Roman"/>
        </w:rPr>
        <w:t>.</w:t>
      </w:r>
    </w:p>
    <w:p w14:paraId="715B2253" w14:textId="61B7DFC5" w:rsidR="00D126ED" w:rsidRPr="000B48FC" w:rsidRDefault="003E7282" w:rsidP="00C87898">
      <w:pPr>
        <w:pStyle w:val="PargrafodaLista"/>
        <w:numPr>
          <w:ilvl w:val="0"/>
          <w:numId w:val="2"/>
        </w:numPr>
        <w:ind w:hanging="72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 xml:space="preserve">JUSTIFICATIVA </w:t>
      </w:r>
      <w:r w:rsidR="00EA12DC" w:rsidRPr="000B48FC">
        <w:rPr>
          <w:rFonts w:ascii="Cambria" w:hAnsi="Cambria" w:cs="Times New Roman"/>
          <w:b/>
          <w:bCs/>
          <w:sz w:val="24"/>
          <w:szCs w:val="24"/>
        </w:rPr>
        <w:t>DA MODALIDADE E BASE LEGAL</w:t>
      </w:r>
    </w:p>
    <w:p w14:paraId="0BAA5C36" w14:textId="4FE3C995" w:rsidR="00613EB3" w:rsidRPr="000B48FC" w:rsidRDefault="003E7282" w:rsidP="00EA12DC">
      <w:pPr>
        <w:spacing w:line="360" w:lineRule="auto"/>
        <w:ind w:right="-35"/>
        <w:jc w:val="both"/>
        <w:textAlignment w:val="baseline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4.1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O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objeto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trata-se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contratação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direta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por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inexigibilidade,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em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razão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 inviabilidade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-14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competição,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devido a contratação de serviços técnicos especializados de natureza predominantemente intelectual com profissionais ou empresas de notória especialização, consagrado pela crítica especializada ou pela opinião pública</w:t>
      </w:r>
      <w:r w:rsidR="00EA12DC" w:rsidRPr="00817504">
        <w:rPr>
          <w:rFonts w:ascii="Cambria" w:hAnsi="Cambria" w:cs="Times New Roman"/>
          <w:color w:val="0C0C0C"/>
          <w:spacing w:val="-14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que trata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o Art. 74, III, alínea c da Lei n°</w:t>
      </w:r>
      <w:r w:rsidR="00EA12DC" w:rsidRPr="00817504">
        <w:rPr>
          <w:rFonts w:ascii="Cambria" w:hAnsi="Cambria" w:cs="Times New Roman"/>
          <w:color w:val="0C0C0C"/>
          <w:spacing w:val="-3"/>
          <w:w w:val="105"/>
        </w:rPr>
        <w:t xml:space="preserve"> 14</w:t>
      </w:r>
      <w:r w:rsidR="00EA12DC" w:rsidRPr="00817504">
        <w:rPr>
          <w:rFonts w:ascii="Cambria" w:hAnsi="Cambria" w:cs="Times New Roman"/>
          <w:color w:val="0C0C0C"/>
          <w:w w:val="105"/>
        </w:rPr>
        <w:t>.133, de 2021</w:t>
      </w:r>
      <w:r w:rsidRPr="00817504">
        <w:rPr>
          <w:rFonts w:ascii="Cambria" w:hAnsi="Cambria" w:cs="Times New Roman"/>
        </w:rPr>
        <w:t>.</w:t>
      </w:r>
    </w:p>
    <w:p w14:paraId="53201A4F" w14:textId="1526ECD4" w:rsidR="00D126ED" w:rsidRPr="000B48FC" w:rsidRDefault="000B48FC" w:rsidP="00AD236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DA VIGÊNCIA E DO PRAZO</w:t>
      </w:r>
    </w:p>
    <w:p w14:paraId="02E7D4A9" w14:textId="779CCF58" w:rsidR="000B48FC" w:rsidRPr="00817504" w:rsidRDefault="000B48FC" w:rsidP="00AD2369">
      <w:pPr>
        <w:pStyle w:val="PargrafodaLista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O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817504">
        <w:rPr>
          <w:rFonts w:ascii="Cambria" w:hAnsi="Cambria" w:cs="Times New Roman"/>
        </w:rPr>
        <w:t xml:space="preserve">contrato terá vigência de </w:t>
      </w:r>
      <w:r w:rsidR="00817504" w:rsidRPr="00817504">
        <w:rPr>
          <w:rFonts w:ascii="Cambria" w:hAnsi="Cambria" w:cs="Times New Roman"/>
        </w:rPr>
        <w:t>12</w:t>
      </w:r>
      <w:r w:rsidRPr="00817504">
        <w:rPr>
          <w:rFonts w:ascii="Cambria" w:hAnsi="Cambria" w:cs="Times New Roman"/>
        </w:rPr>
        <w:t xml:space="preserve"> (</w:t>
      </w:r>
      <w:r w:rsidR="00817504" w:rsidRPr="00817504">
        <w:rPr>
          <w:rFonts w:ascii="Cambria" w:hAnsi="Cambria" w:cs="Times New Roman"/>
        </w:rPr>
        <w:t>doze</w:t>
      </w:r>
      <w:r w:rsidRPr="00817504">
        <w:rPr>
          <w:rFonts w:ascii="Cambria" w:hAnsi="Cambria" w:cs="Times New Roman"/>
        </w:rPr>
        <w:t>) meses.</w:t>
      </w:r>
    </w:p>
    <w:p w14:paraId="39C4AD14" w14:textId="1BAD72B7" w:rsidR="000B48FC" w:rsidRPr="00817504" w:rsidRDefault="000B48FC" w:rsidP="00817504">
      <w:pPr>
        <w:pStyle w:val="PargrafodaLista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Para o prazo de execução dos serviços deverá ser considerado o início do prazo de execução após a emissão da Ordem de Serviços pela Contratante. </w:t>
      </w:r>
    </w:p>
    <w:p w14:paraId="2C517A8F" w14:textId="77777777" w:rsidR="00886FC7" w:rsidRPr="000B48FC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  <w:sz w:val="24"/>
          <w:szCs w:val="24"/>
        </w:rPr>
      </w:pPr>
    </w:p>
    <w:p w14:paraId="76218CD4" w14:textId="360FF0EA" w:rsidR="00886FC7" w:rsidRPr="000B48FC" w:rsidRDefault="00F16956" w:rsidP="0031158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color w:val="000000"/>
          <w:sz w:val="24"/>
          <w:szCs w:val="24"/>
        </w:rPr>
        <w:t>DESCRIÇÃO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SOLUÇÃO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COMO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UM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TODO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CONSIDERADO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CICLO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DE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VIDA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OBJETO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E ESPECIFICAÇÃO DO PRODUTO</w:t>
      </w:r>
    </w:p>
    <w:p w14:paraId="2F11B66D" w14:textId="2E7F97ED" w:rsidR="00F16956" w:rsidRPr="00817504" w:rsidRDefault="00F16956" w:rsidP="00311588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lang w:val="pt-PT"/>
        </w:rPr>
      </w:pPr>
      <w:r w:rsidRPr="00817504">
        <w:rPr>
          <w:rFonts w:ascii="Cambria" w:hAnsi="Cambria" w:cs="Times New Roman"/>
          <w:lang w:val="pt-PT"/>
        </w:rPr>
        <w:lastRenderedPageBreak/>
        <w:t>A descrição da solução como um todo encontra-se pormenorizada em tópico específico dos Estudos Técnicos Preliminares, apêndice deste Termo de Referência.</w:t>
      </w:r>
    </w:p>
    <w:p w14:paraId="5E6D9F28" w14:textId="77777777" w:rsidR="007A4A90" w:rsidRPr="000B48FC" w:rsidRDefault="007A4A90" w:rsidP="00311588">
      <w:pPr>
        <w:tabs>
          <w:tab w:val="left" w:pos="284"/>
          <w:tab w:val="left" w:pos="426"/>
        </w:tabs>
        <w:spacing w:after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A42D85C" w14:textId="3117BC0E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 REQUISITOS DA CONTRATAÇÃO</w:t>
      </w:r>
    </w:p>
    <w:p w14:paraId="5396E5AF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Da exigência de amostra</w:t>
      </w:r>
    </w:p>
    <w:p w14:paraId="65C1A042" w14:textId="17019218" w:rsidR="00886FC7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817504">
        <w:rPr>
          <w:rFonts w:ascii="Cambria" w:hAnsi="Cambria" w:cs="Times New Roman"/>
        </w:rPr>
        <w:t xml:space="preserve">Não será exigida amostra para a presente contratação. </w:t>
      </w:r>
    </w:p>
    <w:p w14:paraId="69A3DEE8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24AB2611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Subcontratação</w:t>
      </w:r>
    </w:p>
    <w:p w14:paraId="54E02328" w14:textId="0AC45996" w:rsidR="00F16956" w:rsidRPr="00817504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817504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775D469D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Garantia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contratação</w:t>
      </w:r>
    </w:p>
    <w:p w14:paraId="506AE20E" w14:textId="6C920F99" w:rsidR="00F16956" w:rsidRPr="00817504" w:rsidRDefault="00F16956" w:rsidP="00AD2369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817504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de 2021, pelas razões constantes do Estudo Técnico Preliminar.</w:t>
      </w:r>
    </w:p>
    <w:p w14:paraId="41EC11F5" w14:textId="77777777" w:rsidR="007A4A90" w:rsidRPr="000B48FC" w:rsidRDefault="007A4A90" w:rsidP="00AD2369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360" w:lineRule="auto"/>
        <w:ind w:left="0"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</w:p>
    <w:p w14:paraId="09D7D0F2" w14:textId="5D4EA055" w:rsidR="00AB78F9" w:rsidRPr="000B48FC" w:rsidRDefault="00AB78F9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OBRIGAÇÕES DA CONTRATANTE</w:t>
      </w:r>
      <w:r w:rsidR="009D6AA4" w:rsidRPr="000B48FC">
        <w:rPr>
          <w:rFonts w:ascii="Cambria" w:hAnsi="Cambria" w:cs="Times New Roman"/>
          <w:b/>
          <w:bCs/>
          <w:sz w:val="24"/>
          <w:szCs w:val="24"/>
        </w:rPr>
        <w:t xml:space="preserve"> E CONTRATADA</w:t>
      </w:r>
    </w:p>
    <w:p w14:paraId="131D56C9" w14:textId="462C3079" w:rsidR="009D6AA4" w:rsidRPr="00817504" w:rsidRDefault="009D6AA4" w:rsidP="00AD2369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0B48FC">
        <w:rPr>
          <w:rFonts w:cs="Times New Roman"/>
          <w:b/>
          <w:bCs/>
        </w:rPr>
        <w:t>7.1</w:t>
      </w:r>
      <w:r w:rsidRPr="000B48FC">
        <w:rPr>
          <w:rFonts w:cs="Times New Roman"/>
        </w:rPr>
        <w:t xml:space="preserve"> </w:t>
      </w:r>
      <w:r w:rsidRPr="00817504">
        <w:rPr>
          <w:rFonts w:cs="Times New Roman"/>
          <w:sz w:val="22"/>
          <w:szCs w:val="22"/>
        </w:rPr>
        <w:t xml:space="preserve">As observâncias quanto as obrigações da contratante e da contratada são aquelas estabelecidas no edital do certame e seus anexos, em especial, minuta de contrato, em conformidade com as disposições da Lei nº 14.133/2021. </w:t>
      </w:r>
    </w:p>
    <w:p w14:paraId="67971B95" w14:textId="77777777" w:rsidR="009D6AA4" w:rsidRPr="00817504" w:rsidRDefault="009D6AA4" w:rsidP="00AD2369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</w:p>
    <w:p w14:paraId="7B9E9D7B" w14:textId="7EEFFE5D" w:rsidR="009D6AA4" w:rsidRPr="00817504" w:rsidRDefault="009D6AA4" w:rsidP="00AD2369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5DA55960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3FCFF767" w14:textId="3B9B6481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54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 xml:space="preserve">MODELO DE EXECUÇÃO DO OBJETO LOCAL E PRAZO PARA </w:t>
      </w:r>
      <w:r w:rsidR="008F1E61" w:rsidRPr="000B48FC">
        <w:rPr>
          <w:rFonts w:ascii="Cambria" w:hAnsi="Cambria" w:cs="Times New Roman"/>
          <w:b/>
          <w:bCs/>
          <w:sz w:val="24"/>
          <w:szCs w:val="24"/>
        </w:rPr>
        <w:t>EXECUÇÃO</w:t>
      </w:r>
      <w:r w:rsidRPr="000B48F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2852FA5E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125BBAB9" w14:textId="5654D6AF" w:rsidR="009D6AA4" w:rsidRPr="000B48FC" w:rsidRDefault="009D6AA4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17504">
        <w:rPr>
          <w:rFonts w:ascii="Cambria" w:hAnsi="Cambria" w:cs="Times New Roman"/>
        </w:rPr>
        <w:t>A solicitação do serviço, objeto deste termo, será efetuado pelo Município através da Secretaria de</w:t>
      </w:r>
      <w:r w:rsidR="00EA12DC" w:rsidRPr="00817504">
        <w:rPr>
          <w:rFonts w:ascii="Cambria" w:hAnsi="Cambria" w:cs="Times New Roman"/>
        </w:rPr>
        <w:t xml:space="preserve"> </w:t>
      </w:r>
      <w:r w:rsidR="00EA12DC" w:rsidRPr="00817504">
        <w:rPr>
          <w:rFonts w:ascii="Cambria" w:hAnsi="Cambria" w:cs="Calibri"/>
        </w:rPr>
        <w:t xml:space="preserve">Municipal de </w:t>
      </w:r>
      <w:r w:rsidR="00EC6341">
        <w:rPr>
          <w:rFonts w:ascii="Cambria" w:hAnsi="Cambria" w:cs="Calibri"/>
        </w:rPr>
        <w:t xml:space="preserve">Administração e Planejamento </w:t>
      </w:r>
      <w:r w:rsidRPr="00817504">
        <w:rPr>
          <w:rFonts w:ascii="Cambria" w:hAnsi="Cambria" w:cs="Times New Roman"/>
        </w:rPr>
        <w:t>por meio de Nota de Empenho - NE, sendo encaminhada por correio eletrônico ao endereço indicado pelo licitante vencedor</w:t>
      </w:r>
      <w:r w:rsidRPr="000B48FC">
        <w:rPr>
          <w:rFonts w:ascii="Cambria" w:hAnsi="Cambria" w:cs="Times New Roman"/>
          <w:sz w:val="24"/>
          <w:szCs w:val="24"/>
        </w:rPr>
        <w:t xml:space="preserve">. </w:t>
      </w:r>
    </w:p>
    <w:p w14:paraId="1AC80229" w14:textId="4BC8B2EE" w:rsidR="00EA12DC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A Contratada e a Contratante declaram total vinculação aos termos, exigências e condições da Lei nº 14.133/21</w:t>
      </w:r>
      <w:r w:rsidR="00EC6341">
        <w:rPr>
          <w:rFonts w:ascii="Cambria" w:hAnsi="Cambria" w:cs="Times New Roman"/>
        </w:rPr>
        <w:t>.</w:t>
      </w:r>
    </w:p>
    <w:p w14:paraId="539F889C" w14:textId="085BC11E" w:rsidR="008F1E61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Os serviços deverão ser prestados de acordo com a necessidade da Contratante.</w:t>
      </w:r>
    </w:p>
    <w:p w14:paraId="70B89BF5" w14:textId="2BFD9C2F" w:rsidR="008F1E61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A aceitação dos serviços não exclui nem reduz a responsabilidade da empresa contratada com relação às especificações divergentes.</w:t>
      </w:r>
    </w:p>
    <w:p w14:paraId="24F89B4A" w14:textId="1A9CBF8D" w:rsidR="00311588" w:rsidRPr="00817504" w:rsidRDefault="00311588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A contratada deverá garantir a disponibilidade logística necessária para atender </w:t>
      </w:r>
      <w:r w:rsidR="00EA12DC" w:rsidRPr="00817504">
        <w:rPr>
          <w:rFonts w:ascii="Cambria" w:hAnsi="Cambria" w:cs="Times New Roman"/>
        </w:rPr>
        <w:t>a execução do</w:t>
      </w:r>
      <w:r w:rsidRPr="00817504">
        <w:rPr>
          <w:rFonts w:ascii="Cambria" w:hAnsi="Cambria" w:cs="Times New Roman"/>
        </w:rPr>
        <w:t>s</w:t>
      </w:r>
      <w:r w:rsidR="00EA12DC" w:rsidRPr="00817504">
        <w:rPr>
          <w:rFonts w:ascii="Cambria" w:hAnsi="Cambria" w:cs="Times New Roman"/>
        </w:rPr>
        <w:t xml:space="preserve"> serviços</w:t>
      </w:r>
      <w:r w:rsidRPr="00817504">
        <w:rPr>
          <w:rFonts w:ascii="Cambria" w:hAnsi="Cambria" w:cs="Times New Roman"/>
        </w:rPr>
        <w:t xml:space="preserve"> em todos os locais definidos, bem como assegurar a qualidade e a integridade dos </w:t>
      </w:r>
      <w:r w:rsidR="00EA12DC" w:rsidRPr="00817504">
        <w:rPr>
          <w:rFonts w:ascii="Cambria" w:hAnsi="Cambria" w:cs="Times New Roman"/>
        </w:rPr>
        <w:t>serviços</w:t>
      </w:r>
      <w:r w:rsidRPr="00817504">
        <w:rPr>
          <w:rFonts w:ascii="Cambria" w:hAnsi="Cambria" w:cs="Times New Roman"/>
        </w:rPr>
        <w:t xml:space="preserve"> durante </w:t>
      </w:r>
      <w:r w:rsidR="00EA12DC" w:rsidRPr="00817504">
        <w:rPr>
          <w:rFonts w:ascii="Cambria" w:hAnsi="Cambria" w:cs="Times New Roman"/>
        </w:rPr>
        <w:t>todo o contrato.</w:t>
      </w:r>
    </w:p>
    <w:p w14:paraId="7B78DE74" w14:textId="14553C57" w:rsidR="009D6AA4" w:rsidRPr="000B48FC" w:rsidRDefault="009D6AA4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17504">
        <w:rPr>
          <w:rFonts w:ascii="Cambria" w:hAnsi="Cambria" w:cs="Times New Roman"/>
        </w:rPr>
        <w:t>Não transferir a outrem a execução do objeto e demais obrigações avençadas</w:t>
      </w:r>
      <w:r w:rsidRPr="000B48FC">
        <w:rPr>
          <w:rFonts w:ascii="Cambria" w:hAnsi="Cambria" w:cs="Times New Roman"/>
          <w:sz w:val="24"/>
          <w:szCs w:val="24"/>
        </w:rPr>
        <w:t>;</w:t>
      </w:r>
    </w:p>
    <w:p w14:paraId="4406BF0D" w14:textId="77777777" w:rsidR="00111E07" w:rsidRPr="000B48FC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04BE1D8" w14:textId="6070E720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MODELO DE GESTÃO DO CONTRATO</w:t>
      </w:r>
    </w:p>
    <w:p w14:paraId="11671048" w14:textId="70631A06" w:rsidR="00111E07" w:rsidRPr="00EC6341" w:rsidRDefault="00111E07" w:rsidP="00AD2369">
      <w:pPr>
        <w:pStyle w:val="PargrafodaLista"/>
        <w:widowControl w:val="0"/>
        <w:numPr>
          <w:ilvl w:val="1"/>
          <w:numId w:val="2"/>
        </w:numPr>
        <w:tabs>
          <w:tab w:val="left" w:pos="426"/>
          <w:tab w:val="left" w:pos="704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F367A31" w14:textId="61ADC62E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85"/>
        </w:tabs>
        <w:autoSpaceDE w:val="0"/>
        <w:autoSpaceDN w:val="0"/>
        <w:spacing w:after="0" w:line="36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07FA6466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99"/>
        </w:tabs>
        <w:autoSpaceDE w:val="0"/>
        <w:autoSpaceDN w:val="0"/>
        <w:spacing w:after="0" w:line="36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As comunicações entre o órgão ou entidade e 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575F803B" w14:textId="1941F292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9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órgão ou entidade poderá convocar representante da empresa para adoção de providências que devam ser cumpridas de imediato.</w:t>
      </w:r>
    </w:p>
    <w:p w14:paraId="05C74941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Após a assinatura do contrato ou instrumento equivalente, o órgão ou entidade poderá convocar o representante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empresa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EC6341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0B48FC" w:rsidRDefault="00111E07" w:rsidP="00AD2369">
      <w:pPr>
        <w:widowControl w:val="0"/>
        <w:autoSpaceDE w:val="0"/>
        <w:autoSpaceDN w:val="0"/>
        <w:spacing w:before="256"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Fiscalização</w:t>
      </w:r>
    </w:p>
    <w:p w14:paraId="15A622DB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665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EC6341" w:rsidRDefault="00111E07" w:rsidP="00AD2369">
      <w:pPr>
        <w:widowControl w:val="0"/>
        <w:autoSpaceDE w:val="0"/>
        <w:autoSpaceDN w:val="0"/>
        <w:spacing w:before="1"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0B48FC" w:rsidRDefault="00111E07" w:rsidP="00AD2369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Gestor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b/>
          <w:bCs/>
          <w:spacing w:val="-3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Contrato</w:t>
      </w:r>
    </w:p>
    <w:p w14:paraId="4F9DE98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16"/>
        </w:tabs>
        <w:autoSpaceDE w:val="0"/>
        <w:autoSpaceDN w:val="0"/>
        <w:spacing w:after="0" w:line="36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EC6341" w:rsidRDefault="00111E07" w:rsidP="00AD2369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28"/>
        </w:tabs>
        <w:autoSpaceDE w:val="0"/>
        <w:autoSpaceDN w:val="0"/>
        <w:spacing w:before="1"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before="257"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 xml:space="preserve">O gestor do contrato acompanhará a manutenção das condições de habilitação da contratada, para fins de empenho de despesa e pagamento, e anotará os problemas que obstem o fluxo normal da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lastRenderedPageBreak/>
        <w:t>liquidação 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art. 21, III).</w:t>
      </w:r>
    </w:p>
    <w:p w14:paraId="1ADE1463" w14:textId="77777777" w:rsidR="00111E07" w:rsidRPr="000B48FC" w:rsidRDefault="00111E07" w:rsidP="00AD2369">
      <w:pPr>
        <w:widowControl w:val="0"/>
        <w:autoSpaceDE w:val="0"/>
        <w:autoSpaceDN w:val="0"/>
        <w:spacing w:before="2"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54C0D3E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19"/>
        </w:tabs>
        <w:autoSpaceDE w:val="0"/>
        <w:autoSpaceDN w:val="0"/>
        <w:spacing w:after="0" w:line="36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EC6341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6"/>
        </w:tabs>
        <w:autoSpaceDE w:val="0"/>
        <w:autoSpaceDN w:val="0"/>
        <w:spacing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EC6341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EC6341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2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0B48FC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4607A45E" w14:textId="77777777" w:rsidR="00897F4B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EC6341">
        <w:rPr>
          <w:rFonts w:ascii="Cambria" w:eastAsia="Cambria" w:hAnsi="Cambria" w:cs="Times New Roman"/>
          <w:b/>
          <w:bCs/>
          <w:kern w:val="0"/>
          <w:sz w:val="24"/>
          <w:szCs w:val="24"/>
          <w:lang w:val="pt-PT"/>
          <w14:ligatures w14:val="none"/>
        </w:rPr>
        <w:t>9.13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enviar a documentação pertinente ao setor de contratos para a formalização dos procedimentos de liquidação e pagamento, no valor dimensionado pela fiscalização e gestão nos termos do contrato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.</w:t>
      </w:r>
    </w:p>
    <w:p w14:paraId="6E30621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2B011FF" w14:textId="2E397AFF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CRITÉRIOS DE MEDIÇÃO E DE PAGAMENTO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51B7D4F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Recebimento</w:t>
      </w:r>
    </w:p>
    <w:p w14:paraId="10A296BB" w14:textId="5C76DC99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47C38D84" w14:textId="753042E6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 xml:space="preserve">Os </w:t>
      </w:r>
      <w:r w:rsidR="008F1E61" w:rsidRPr="00EC6341">
        <w:rPr>
          <w:rFonts w:ascii="Cambria" w:hAnsi="Cambria" w:cs="Times New Roman"/>
          <w:lang w:val="pt-PT"/>
        </w:rPr>
        <w:t>serviços</w:t>
      </w:r>
      <w:r w:rsidRPr="00EC6341">
        <w:rPr>
          <w:rFonts w:ascii="Cambria" w:hAnsi="Cambria" w:cs="Times New Roman"/>
          <w:lang w:val="pt-PT"/>
        </w:rPr>
        <w:t xml:space="preserve"> poderão ser rejeitados, no todo ou em parte, inclusive antes do recebimento provisório, quando em desacordo com as especificações constantes no Termo de Referência e na proposta, devendo ser substituídos no prazo de 03 (três) horas, a contar da notificação da contratada, às suas custas, sem prejuízo da aplicação das penalidades.</w:t>
      </w:r>
    </w:p>
    <w:p w14:paraId="385AB1BF" w14:textId="61233879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D58C24F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 empresa para </w:t>
      </w:r>
      <w:r w:rsidRPr="00EC6341">
        <w:rPr>
          <w:rFonts w:ascii="Cambria" w:hAnsi="Cambria" w:cs="Times New Roman"/>
          <w:lang w:val="pt-PT"/>
        </w:rPr>
        <w:lastRenderedPageBreak/>
        <w:t>emissão de Nota Fiscal no que pertine à parcela incontroversa da execução do objeto, para efeito de liquidação e pagamento.</w:t>
      </w:r>
    </w:p>
    <w:p w14:paraId="02D4E2A0" w14:textId="6921B63A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>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699BF6A0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F1E61" w:rsidRPr="00EC6341">
        <w:rPr>
          <w:rFonts w:ascii="Cambria" w:hAnsi="Cambria" w:cs="Times New Roman"/>
          <w:lang w:val="pt-PT"/>
        </w:rPr>
        <w:t>serviços prestados</w:t>
      </w:r>
      <w:r w:rsidRPr="00EC6341">
        <w:rPr>
          <w:rFonts w:ascii="Cambria" w:hAnsi="Cambria" w:cs="Times New Roman"/>
          <w:lang w:val="pt-PT"/>
        </w:rPr>
        <w:t xml:space="preserve"> nem a responsabilidade ético-profissional pela perfeita execução do contrato.</w:t>
      </w:r>
    </w:p>
    <w:p w14:paraId="195294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020C98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Prazo de pagamento</w:t>
      </w:r>
    </w:p>
    <w:p w14:paraId="41B8CA3B" w14:textId="5B7C4019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>O pagamento será efetuado no prazo máximo de até 30 (trinta) dias, contados a partir da data final do período de adimplemento a que se referir.</w:t>
      </w:r>
    </w:p>
    <w:p w14:paraId="37D1D92E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693304A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Forma de pagamento</w:t>
      </w:r>
    </w:p>
    <w:p w14:paraId="72CC346D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4E05A8B0" w14:textId="77777777" w:rsidR="00111E07" w:rsidRPr="000B48FC" w:rsidRDefault="00111E07" w:rsidP="00AD2369">
      <w:pPr>
        <w:pStyle w:val="PargrafodaLista"/>
        <w:numPr>
          <w:ilvl w:val="2"/>
          <w:numId w:val="2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spacing w:line="360" w:lineRule="auto"/>
        <w:ind w:left="567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EC6341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</w:t>
      </w:r>
      <w:r w:rsidRPr="000B48FC">
        <w:rPr>
          <w:rFonts w:ascii="Cambria" w:hAnsi="Cambria" w:cs="Times New Roman"/>
          <w:sz w:val="24"/>
          <w:szCs w:val="24"/>
          <w:lang w:val="pt-PT"/>
        </w:rPr>
        <w:t>.</w:t>
      </w:r>
    </w:p>
    <w:p w14:paraId="4A2540C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567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233E2A6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1A14BB7B" w14:textId="77777777" w:rsidR="008F1E61" w:rsidRPr="000B48FC" w:rsidRDefault="008F1E61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DA SUBCONTRATAÇÃO </w:t>
      </w:r>
    </w:p>
    <w:p w14:paraId="6B8ABC8A" w14:textId="323B2C0B" w:rsidR="00111E07" w:rsidRPr="00EC6341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rPr>
          <w:rFonts w:ascii="Cambria" w:hAnsi="Cambria" w:cs="Times New Roman"/>
          <w:b/>
          <w:bCs/>
          <w:lang w:val="pt-PT"/>
        </w:rPr>
      </w:pPr>
      <w:r w:rsidRPr="00EC6341">
        <w:rPr>
          <w:rFonts w:ascii="Cambria" w:hAnsi="Cambria" w:cs="Times New Roman"/>
          <w:lang w:val="pt-PT"/>
        </w:rPr>
        <w:t>Não será admitida a subcontratação do objeto.</w:t>
      </w:r>
      <w:r w:rsidR="00111E07" w:rsidRPr="00EC6341">
        <w:rPr>
          <w:rFonts w:ascii="Cambria" w:hAnsi="Cambria" w:cs="Times New Roman"/>
          <w:lang w:val="pt-PT"/>
        </w:rPr>
        <w:tab/>
      </w:r>
    </w:p>
    <w:p w14:paraId="462BDF4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51AF343A" w14:textId="2417475D" w:rsidR="008F1E61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</w:t>
      </w:r>
      <w:r w:rsidR="008F1E61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A ALTERAÇÃO SUBJETIVA</w:t>
      </w:r>
    </w:p>
    <w:p w14:paraId="407F3D99" w14:textId="6B88C8F5" w:rsidR="008F1E61" w:rsidRPr="000B48FC" w:rsidRDefault="008F1E61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eastAsia="Calibri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lastRenderedPageBreak/>
        <w:t>11.1</w:t>
      </w:r>
      <w:r w:rsidR="000B48FC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 </w:t>
      </w:r>
      <w:r w:rsidR="000B48FC" w:rsidRPr="00EC6341">
        <w:rPr>
          <w:rFonts w:ascii="Cambria" w:eastAsia="Calibri" w:hAnsi="Cambria" w:cs="Times New Roman"/>
        </w:rPr>
        <w:t>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</w:t>
      </w:r>
    </w:p>
    <w:p w14:paraId="1CF1136C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782E50F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SANÇÕES ADMINISTRATIVAS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719F44DD" w14:textId="77777777" w:rsidR="00111E07" w:rsidRPr="00A36E64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A36E64">
        <w:rPr>
          <w:rFonts w:ascii="Cambria" w:hAnsi="Cambria" w:cs="Times New Roman"/>
          <w:lang w:val="pt-PT"/>
        </w:rPr>
        <w:t>As observâncias quanto as sanções administrativas aos licitantes são aquelas estabelecidas no edital da contratação, em conformidade com as disposições da Lei nº 14.133/2021.</w:t>
      </w:r>
    </w:p>
    <w:p w14:paraId="49E6FD4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3D8FC079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ESTIMATIVAS DO VALOR DA CONTRATAÇÃO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F9FCD30" w14:textId="43F3A95E" w:rsidR="003402A0" w:rsidRPr="00A36E64" w:rsidRDefault="003402A0" w:rsidP="00AD2369">
      <w:pPr>
        <w:pStyle w:val="NormalWeb"/>
        <w:spacing w:line="360" w:lineRule="auto"/>
        <w:jc w:val="both"/>
        <w:rPr>
          <w:rFonts w:ascii="Cambria" w:hAnsi="Cambria"/>
          <w:sz w:val="22"/>
          <w:szCs w:val="22"/>
        </w:rPr>
      </w:pPr>
      <w:r w:rsidRPr="000B48FC">
        <w:rPr>
          <w:rFonts w:ascii="Cambria" w:hAnsi="Cambria"/>
          <w:b/>
          <w:bCs/>
        </w:rPr>
        <w:t>1</w:t>
      </w:r>
      <w:r w:rsidR="000B48FC" w:rsidRPr="000B48FC">
        <w:rPr>
          <w:rFonts w:ascii="Cambria" w:hAnsi="Cambria"/>
          <w:b/>
          <w:bCs/>
        </w:rPr>
        <w:t>3</w:t>
      </w:r>
      <w:r w:rsidRPr="000B48FC">
        <w:rPr>
          <w:rFonts w:ascii="Cambria" w:hAnsi="Cambria"/>
          <w:b/>
          <w:bCs/>
        </w:rPr>
        <w:t>.1</w:t>
      </w:r>
      <w:r w:rsidRPr="000B48FC">
        <w:rPr>
          <w:rFonts w:ascii="Cambria" w:hAnsi="Cambria"/>
        </w:rPr>
        <w:t xml:space="preserve"> </w:t>
      </w:r>
      <w:r w:rsidRPr="00A36E64">
        <w:rPr>
          <w:rFonts w:ascii="Cambria" w:hAnsi="Cambria"/>
          <w:sz w:val="22"/>
          <w:szCs w:val="22"/>
        </w:rPr>
        <w:t xml:space="preserve">A divulgação do valor estimado para a </w:t>
      </w:r>
      <w:r w:rsidR="000B48FC" w:rsidRPr="00A36E64">
        <w:rPr>
          <w:rFonts w:ascii="Cambria" w:hAnsi="Cambria" w:cs="Calibri"/>
          <w:sz w:val="22"/>
          <w:szCs w:val="22"/>
        </w:rPr>
        <w:t xml:space="preserve">contratação de empresa </w:t>
      </w:r>
      <w:r w:rsidR="00A36E64" w:rsidRPr="00A36E64">
        <w:rPr>
          <w:rFonts w:ascii="Cambria" w:hAnsi="Cambria" w:cs="Calibri"/>
          <w:b/>
          <w:bCs/>
          <w:sz w:val="22"/>
          <w:szCs w:val="22"/>
        </w:rPr>
        <w:t>CONTRATAÇÃO DE EMPRESA PARA PRESTAÇÃO DE SERVIÇOS TÉCNICOS ESPECIALIZADOS DE CONSULTORIA ADMINISTRATIVA PARA O PLANEJAMENTO, ELABORAÇÃO DE ESTUDOS TÉCNICOS E MONITORAMENTO DE SISTEMAS DE CONVÊNIOS, CONTRATOS DE REPASSE E TERMOS DE COMPROMISSOS NAS PLATAFORMAS DO GOVERNO FEDERAL TRANSFEREGOV, SIGA-FUNASA E GOVERNO DO PIAUÍ - SIGRP COM APRESENTAÇÃO DE INFORMAÇÕES, INSERÇÃO DE DOCUMENTOS, ORIENTAÇÃO TÉCNICA NO GERENCIAMENTO E PRESTAÇÃO DE CONTAS DOS RESPECTIVOS INSTRUMENTOS CELEBRADOS PELA PREFEITURA MUNICIPAL DE VERA MENDES </w:t>
      </w:r>
      <w:r w:rsidR="00A36E64">
        <w:rPr>
          <w:rFonts w:ascii="Cambria" w:hAnsi="Cambria" w:cs="Calibri"/>
          <w:b/>
          <w:bCs/>
          <w:sz w:val="22"/>
          <w:szCs w:val="22"/>
        </w:rPr>
        <w:t>–</w:t>
      </w:r>
      <w:r w:rsidR="00A36E64" w:rsidRPr="00A36E64">
        <w:rPr>
          <w:rFonts w:ascii="Cambria" w:hAnsi="Cambria" w:cs="Calibri"/>
          <w:b/>
          <w:bCs/>
          <w:sz w:val="22"/>
          <w:szCs w:val="22"/>
        </w:rPr>
        <w:t> P</w:t>
      </w:r>
      <w:r w:rsidR="00A36E64">
        <w:rPr>
          <w:rFonts w:ascii="Cambria" w:hAnsi="Cambria" w:cs="Calibri"/>
          <w:b/>
          <w:bCs/>
          <w:sz w:val="22"/>
          <w:szCs w:val="22"/>
        </w:rPr>
        <w:t xml:space="preserve">I </w:t>
      </w:r>
      <w:r w:rsidRPr="00A36E64">
        <w:rPr>
          <w:rFonts w:ascii="Cambria" w:hAnsi="Cambria"/>
          <w:sz w:val="22"/>
          <w:szCs w:val="22"/>
        </w:rPr>
        <w:t xml:space="preserve">visa assegurar a transparência </w:t>
      </w:r>
      <w:r w:rsidR="000B48FC" w:rsidRPr="00A36E64">
        <w:rPr>
          <w:rFonts w:ascii="Cambria" w:hAnsi="Cambria"/>
          <w:sz w:val="22"/>
          <w:szCs w:val="22"/>
        </w:rPr>
        <w:t>do processo</w:t>
      </w:r>
      <w:r w:rsidRPr="00A36E64">
        <w:rPr>
          <w:rFonts w:ascii="Cambria" w:hAnsi="Cambria"/>
          <w:sz w:val="22"/>
          <w:szCs w:val="22"/>
        </w:rPr>
        <w:t>, em conformidade com os princípios da publicidade e eficiência previstos na Lei nº 14.133/2021.</w:t>
      </w:r>
    </w:p>
    <w:p w14:paraId="2E559DAF" w14:textId="66246632" w:rsidR="00AD2369" w:rsidRPr="00A36E64" w:rsidRDefault="00AD2369" w:rsidP="00AD2369">
      <w:pPr>
        <w:pStyle w:val="NormalWeb"/>
        <w:spacing w:line="360" w:lineRule="auto"/>
        <w:jc w:val="both"/>
        <w:rPr>
          <w:rFonts w:ascii="Cambria" w:hAnsi="Cambria"/>
          <w:sz w:val="22"/>
          <w:szCs w:val="22"/>
        </w:rPr>
      </w:pPr>
      <w:r w:rsidRPr="00A36E64">
        <w:rPr>
          <w:rFonts w:ascii="Cambria" w:hAnsi="Cambria"/>
          <w:b/>
          <w:bCs/>
          <w:sz w:val="22"/>
          <w:szCs w:val="22"/>
        </w:rPr>
        <w:t>13.2</w:t>
      </w:r>
      <w:r w:rsidRPr="00A36E64">
        <w:rPr>
          <w:rFonts w:ascii="Cambria" w:hAnsi="Cambria"/>
          <w:sz w:val="22"/>
          <w:szCs w:val="22"/>
        </w:rPr>
        <w:t xml:space="preserve"> O valor total da contratação está orçado em </w:t>
      </w:r>
      <w:r w:rsidR="00001CF2">
        <w:rPr>
          <w:rFonts w:ascii="Cambria" w:hAnsi="Cambria"/>
          <w:sz w:val="22"/>
          <w:szCs w:val="22"/>
        </w:rPr>
        <w:t>R</w:t>
      </w:r>
      <w:r w:rsidRPr="00001CF2">
        <w:rPr>
          <w:rFonts w:ascii="Cambria" w:hAnsi="Cambria"/>
          <w:sz w:val="22"/>
          <w:szCs w:val="22"/>
        </w:rPr>
        <w:t xml:space="preserve">$ </w:t>
      </w:r>
      <w:r w:rsidR="00001CF2">
        <w:rPr>
          <w:rFonts w:ascii="Cambria" w:hAnsi="Cambria"/>
          <w:sz w:val="22"/>
          <w:szCs w:val="22"/>
        </w:rPr>
        <w:t>56.700,00 (cinquenta e seis mil, setecentos reais)</w:t>
      </w:r>
      <w:r w:rsidRPr="00A36E64">
        <w:rPr>
          <w:rFonts w:ascii="Cambria" w:hAnsi="Cambria"/>
          <w:sz w:val="22"/>
          <w:szCs w:val="22"/>
        </w:rPr>
        <w:t xml:space="preserve">, na forma e nas condições da Proposta apresentada. </w:t>
      </w:r>
    </w:p>
    <w:p w14:paraId="6EADB466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INFORMAÇÕES ORÇAMENTÁRIAS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143DB3F9" w14:textId="7F7CE2A6" w:rsidR="00111E07" w:rsidRPr="00A36E64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</w:rPr>
      </w:pPr>
      <w:r w:rsidRPr="00AD2369">
        <w:rPr>
          <w:rFonts w:ascii="Cambria" w:hAnsi="Cambria" w:cs="Times New Roman"/>
          <w:b/>
          <w:bCs/>
          <w:sz w:val="24"/>
          <w:szCs w:val="24"/>
        </w:rPr>
        <w:t>14.1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A36E64">
        <w:rPr>
          <w:rFonts w:ascii="Cambria" w:hAnsi="Cambria" w:cs="Times New Roman"/>
        </w:rPr>
        <w:t>As despesas decorrentes da execução dos serviços(s), objeto desta licitação correrão à conta orçamentária, a ser informada pelo setor financeiro deste município.</w:t>
      </w:r>
    </w:p>
    <w:p w14:paraId="0229920B" w14:textId="77777777" w:rsidR="000B48FC" w:rsidRPr="000B48FC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E2E0F0E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DISPOSIÇÕES FINAIS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7F7DAA7" w14:textId="530629FC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desatendimento de exigências formais não essenciais não importará no afastamento do proponente, desde que seja possível a aferição da sua qualificação e a exata compreensão da sua proposta;</w:t>
      </w:r>
    </w:p>
    <w:p w14:paraId="2A8C1581" w14:textId="77777777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As decisões referentes a este processo licitatório poderão ser comunicadas aos proponentes por qualquer meio de comunicação que comprove o recebimento ou, ainda, mediante publicação em Diário Oficial;</w:t>
      </w:r>
    </w:p>
    <w:p w14:paraId="3B779A92" w14:textId="67E0EDD8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0B48FC" w:rsidRPr="00A36E64">
        <w:rPr>
          <w:rFonts w:ascii="Cambria" w:hAnsi="Cambria" w:cs="Times New Roman"/>
          <w:lang w:val="pt-PT"/>
        </w:rPr>
        <w:t>Agente de Contratação.</w:t>
      </w:r>
    </w:p>
    <w:p w14:paraId="7671B03F" w14:textId="1463C936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lastRenderedPageBreak/>
        <w:t xml:space="preserve">A participação do proponente nesta </w:t>
      </w:r>
      <w:r w:rsidR="000B48FC" w:rsidRPr="00A36E64">
        <w:rPr>
          <w:rFonts w:ascii="Cambria" w:hAnsi="Cambria" w:cs="Times New Roman"/>
          <w:lang w:val="pt-PT"/>
        </w:rPr>
        <w:t>Inexegibilidade</w:t>
      </w:r>
      <w:r w:rsidRPr="00A36E64">
        <w:rPr>
          <w:rFonts w:ascii="Cambria" w:hAnsi="Cambria" w:cs="Times New Roman"/>
          <w:lang w:val="pt-PT"/>
        </w:rPr>
        <w:t xml:space="preserve"> implica em aceitação de todos os termos do </w:t>
      </w:r>
      <w:r w:rsidR="000B48FC" w:rsidRPr="00A36E64">
        <w:rPr>
          <w:rFonts w:ascii="Cambria" w:hAnsi="Cambria" w:cs="Times New Roman"/>
          <w:lang w:val="pt-PT"/>
        </w:rPr>
        <w:t>Termo de Referência</w:t>
      </w:r>
      <w:r w:rsidRPr="00A36E64">
        <w:rPr>
          <w:rFonts w:ascii="Cambria" w:hAnsi="Cambria" w:cs="Times New Roman"/>
          <w:lang w:val="pt-PT"/>
        </w:rPr>
        <w:t xml:space="preserve"> e seus anexos.</w:t>
      </w:r>
    </w:p>
    <w:p w14:paraId="02835F98" w14:textId="77777777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A36E64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lang w:val="pt-PT"/>
        </w:rPr>
      </w:pPr>
    </w:p>
    <w:p w14:paraId="68E266B9" w14:textId="27D3B72D" w:rsidR="00AB78F9" w:rsidRPr="00A36E64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</w:rPr>
      </w:pPr>
      <w:r w:rsidRPr="00A36E64">
        <w:rPr>
          <w:rFonts w:ascii="Cambria" w:hAnsi="Cambria" w:cs="Times New Roman"/>
        </w:rPr>
        <w:t>Vera Mendes – PI, na data de sua assinatura</w:t>
      </w:r>
    </w:p>
    <w:p w14:paraId="27A9E9CB" w14:textId="77777777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  <w:sz w:val="24"/>
          <w:szCs w:val="24"/>
        </w:rPr>
      </w:pPr>
    </w:p>
    <w:p w14:paraId="65F0C6AF" w14:textId="77777777" w:rsidR="00806E76" w:rsidRPr="000B48FC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  <w:sz w:val="24"/>
          <w:szCs w:val="24"/>
        </w:rPr>
      </w:pPr>
    </w:p>
    <w:p w14:paraId="2148C38C" w14:textId="29E4E7C6" w:rsidR="00AD2369" w:rsidRPr="00DA7D93" w:rsidRDefault="00A36E64" w:rsidP="00AD2369">
      <w:pPr>
        <w:spacing w:after="0"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Flávio José de Carvalho</w:t>
      </w:r>
    </w:p>
    <w:p w14:paraId="7F82942B" w14:textId="5087D44C" w:rsidR="00AD2369" w:rsidRPr="00D24582" w:rsidRDefault="00AD2369" w:rsidP="00AD2369">
      <w:pPr>
        <w:spacing w:after="0"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 xml:space="preserve">Secretaria Municipal de </w:t>
      </w:r>
      <w:r w:rsidR="00A36E64">
        <w:rPr>
          <w:rFonts w:ascii="Cambria" w:hAnsi="Cambria" w:cs="Calibri"/>
          <w:b/>
          <w:bCs/>
        </w:rPr>
        <w:t xml:space="preserve">Administração e Planejamento </w:t>
      </w:r>
    </w:p>
    <w:p w14:paraId="49A36064" w14:textId="1E96FBDB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sz w:val="24"/>
          <w:szCs w:val="24"/>
        </w:rPr>
      </w:pPr>
    </w:p>
    <w:sectPr w:rsidR="00141393" w:rsidRPr="000B48FC" w:rsidSect="00D72BB1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A0B6" w14:textId="77777777" w:rsidR="00FC2D8F" w:rsidRDefault="00FC2D8F" w:rsidP="004739BD">
      <w:pPr>
        <w:spacing w:after="0" w:line="240" w:lineRule="auto"/>
      </w:pPr>
      <w:r>
        <w:separator/>
      </w:r>
    </w:p>
  </w:endnote>
  <w:endnote w:type="continuationSeparator" w:id="0">
    <w:p w14:paraId="7B128896" w14:textId="77777777" w:rsidR="00FC2D8F" w:rsidRDefault="00FC2D8F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E95A" w14:textId="77777777" w:rsidR="00FC2D8F" w:rsidRDefault="00FC2D8F" w:rsidP="004739BD">
      <w:pPr>
        <w:spacing w:after="0" w:line="240" w:lineRule="auto"/>
      </w:pPr>
      <w:r>
        <w:separator/>
      </w:r>
    </w:p>
  </w:footnote>
  <w:footnote w:type="continuationSeparator" w:id="0">
    <w:p w14:paraId="42580A33" w14:textId="77777777" w:rsidR="00FC2D8F" w:rsidRDefault="00FC2D8F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9DF0A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2203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5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5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2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3"/>
  </w:num>
  <w:num w:numId="13" w16cid:durableId="1490975865">
    <w:abstractNumId w:val="14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01CF2"/>
    <w:rsid w:val="000B48FC"/>
    <w:rsid w:val="00111E07"/>
    <w:rsid w:val="00141393"/>
    <w:rsid w:val="0016748C"/>
    <w:rsid w:val="001A413B"/>
    <w:rsid w:val="001D5CC1"/>
    <w:rsid w:val="001E71E2"/>
    <w:rsid w:val="001E79B9"/>
    <w:rsid w:val="00210CF2"/>
    <w:rsid w:val="00280A94"/>
    <w:rsid w:val="002B69BC"/>
    <w:rsid w:val="002C3618"/>
    <w:rsid w:val="00303412"/>
    <w:rsid w:val="00311588"/>
    <w:rsid w:val="003148AE"/>
    <w:rsid w:val="003402A0"/>
    <w:rsid w:val="0037626F"/>
    <w:rsid w:val="00385C68"/>
    <w:rsid w:val="00386FBD"/>
    <w:rsid w:val="003B4D2D"/>
    <w:rsid w:val="003E7282"/>
    <w:rsid w:val="00405B7C"/>
    <w:rsid w:val="004739BD"/>
    <w:rsid w:val="004B48DB"/>
    <w:rsid w:val="004C11B9"/>
    <w:rsid w:val="004C68C1"/>
    <w:rsid w:val="004E0483"/>
    <w:rsid w:val="00514F83"/>
    <w:rsid w:val="005F7632"/>
    <w:rsid w:val="00610F03"/>
    <w:rsid w:val="00613EB3"/>
    <w:rsid w:val="006653C8"/>
    <w:rsid w:val="006A752F"/>
    <w:rsid w:val="00760CA2"/>
    <w:rsid w:val="00762087"/>
    <w:rsid w:val="007A4A90"/>
    <w:rsid w:val="007C1BFD"/>
    <w:rsid w:val="00806E76"/>
    <w:rsid w:val="00817504"/>
    <w:rsid w:val="008408FE"/>
    <w:rsid w:val="00886FC7"/>
    <w:rsid w:val="00897F4B"/>
    <w:rsid w:val="008F1E61"/>
    <w:rsid w:val="00944610"/>
    <w:rsid w:val="00964158"/>
    <w:rsid w:val="00982D0B"/>
    <w:rsid w:val="009D6AA4"/>
    <w:rsid w:val="00A053CE"/>
    <w:rsid w:val="00A36E64"/>
    <w:rsid w:val="00AB78F9"/>
    <w:rsid w:val="00AC23CD"/>
    <w:rsid w:val="00AD2369"/>
    <w:rsid w:val="00B11CBF"/>
    <w:rsid w:val="00BD14BC"/>
    <w:rsid w:val="00C22EB5"/>
    <w:rsid w:val="00C27756"/>
    <w:rsid w:val="00C35D74"/>
    <w:rsid w:val="00C7282B"/>
    <w:rsid w:val="00C763D0"/>
    <w:rsid w:val="00C87898"/>
    <w:rsid w:val="00CA42E1"/>
    <w:rsid w:val="00CD4FD4"/>
    <w:rsid w:val="00CD6AD0"/>
    <w:rsid w:val="00D126ED"/>
    <w:rsid w:val="00D72BB1"/>
    <w:rsid w:val="00D75712"/>
    <w:rsid w:val="00D946B4"/>
    <w:rsid w:val="00DE5559"/>
    <w:rsid w:val="00E05BAE"/>
    <w:rsid w:val="00E22F9D"/>
    <w:rsid w:val="00E51720"/>
    <w:rsid w:val="00E95A5C"/>
    <w:rsid w:val="00EA12DC"/>
    <w:rsid w:val="00EB19AC"/>
    <w:rsid w:val="00EC6341"/>
    <w:rsid w:val="00F1539D"/>
    <w:rsid w:val="00F16956"/>
    <w:rsid w:val="00F32F77"/>
    <w:rsid w:val="00FC08C8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3E7282"/>
  </w:style>
  <w:style w:type="table" w:customStyle="1" w:styleId="Tabelacomgrade1">
    <w:name w:val="Tabela com grade1"/>
    <w:basedOn w:val="Tabelanormal"/>
    <w:next w:val="Tabelacomgrade"/>
    <w:uiPriority w:val="39"/>
    <w:rsid w:val="00E5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2335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7</cp:revision>
  <dcterms:created xsi:type="dcterms:W3CDTF">2025-02-06T20:23:00Z</dcterms:created>
  <dcterms:modified xsi:type="dcterms:W3CDTF">2025-02-18T15:54:00Z</dcterms:modified>
</cp:coreProperties>
</file>