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F58C" w14:textId="77777777" w:rsidR="001E71E2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8547B2B" w14:textId="2E9E5EC2" w:rsidR="00E05BAE" w:rsidRDefault="00C7282B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TERMO DE REFERÊNCIA</w:t>
      </w:r>
    </w:p>
    <w:p w14:paraId="17804331" w14:textId="77777777" w:rsidR="001E71E2" w:rsidRPr="000B48FC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24917D5" w14:textId="41A0B6B8" w:rsidR="00C7282B" w:rsidRPr="000B48FC" w:rsidRDefault="00D126ED" w:rsidP="00AD236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APRESENTAÇÃO DO OBJETO</w:t>
      </w:r>
    </w:p>
    <w:p w14:paraId="59C14ACB" w14:textId="7CAD0506" w:rsidR="001E79B9" w:rsidRPr="00817504" w:rsidRDefault="001E79B9" w:rsidP="00AD2369">
      <w:pPr>
        <w:spacing w:line="360" w:lineRule="auto"/>
        <w:ind w:firstLine="851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A presente contratação tem como objeto a </w:t>
      </w:r>
      <w:r w:rsidR="00E51720" w:rsidRPr="00817504">
        <w:rPr>
          <w:rFonts w:ascii="Cambria" w:hAnsi="Cambria" w:cs="Calibri"/>
          <w:b/>
          <w:bCs/>
        </w:rPr>
        <w:t xml:space="preserve">CONTRATAÇÃO DE EMPRESA PARA </w:t>
      </w:r>
      <w:r w:rsidR="00360E52" w:rsidRPr="00184484">
        <w:rPr>
          <w:rFonts w:ascii="Cambria" w:hAnsi="Cambria" w:cs="Calibri"/>
          <w:b/>
          <w:bCs/>
          <w:lang w:bidi="pt-PT"/>
        </w:rPr>
        <w:t>PRESTAÇÃO DE SERV</w:t>
      </w:r>
      <w:r w:rsidR="00360E52">
        <w:rPr>
          <w:rFonts w:ascii="Cambria" w:hAnsi="Cambria" w:cs="Calibri"/>
          <w:b/>
          <w:bCs/>
          <w:lang w:bidi="pt-PT"/>
        </w:rPr>
        <w:t>IÇOS DE LOCAÇÃO DE SISTEMA DE GESTÃO DE CONTRATOS CONFORME LEI Nº 14.133/21 E CONTROLE INTERNO, INCLUINDO IMPLANTAÇÃO DE SISTEMA E TREINAMENTO PARA SUPRIR AS NECESSIDADES DO MUNICÍPIO DE VERA MENDES-PI</w:t>
      </w:r>
      <w:r w:rsidR="00405B7C" w:rsidRPr="00817504">
        <w:rPr>
          <w:rFonts w:ascii="Cambria" w:hAnsi="Cambria" w:cs="Calibri"/>
          <w:b/>
          <w:bCs/>
        </w:rPr>
        <w:t>.</w:t>
      </w:r>
      <w:r w:rsidR="00385C68" w:rsidRPr="00817504">
        <w:rPr>
          <w:rFonts w:ascii="Cambria" w:hAnsi="Cambria" w:cs="Times New Roman"/>
        </w:rPr>
        <w:t xml:space="preserve"> </w:t>
      </w:r>
      <w:r w:rsidR="003E7282" w:rsidRPr="00817504">
        <w:rPr>
          <w:rFonts w:ascii="Cambria" w:hAnsi="Cambria" w:cs="Times New Roman"/>
        </w:rPr>
        <w:t xml:space="preserve">A </w:t>
      </w:r>
      <w:r w:rsidR="00E51720" w:rsidRPr="00817504">
        <w:rPr>
          <w:rFonts w:ascii="Cambria" w:hAnsi="Cambria" w:cs="Times New Roman"/>
        </w:rPr>
        <w:t xml:space="preserve">contratação dos serviços acima </w:t>
      </w:r>
      <w:r w:rsidR="003E7282" w:rsidRPr="00817504">
        <w:rPr>
          <w:rFonts w:ascii="Cambria" w:hAnsi="Cambria" w:cs="Times New Roman"/>
        </w:rPr>
        <w:t>justifica</w:t>
      </w:r>
      <w:r w:rsidR="00E51720" w:rsidRPr="00817504">
        <w:rPr>
          <w:rFonts w:ascii="Cambria" w:hAnsi="Cambria" w:cs="Times New Roman"/>
        </w:rPr>
        <w:t>-se</w:t>
      </w:r>
      <w:r w:rsidR="003E7282" w:rsidRPr="00817504">
        <w:rPr>
          <w:rFonts w:ascii="Cambria" w:hAnsi="Cambria" w:cs="Times New Roman"/>
        </w:rPr>
        <w:t xml:space="preserve"> pela necessidade</w:t>
      </w:r>
      <w:r w:rsidR="00360E52">
        <w:rPr>
          <w:rFonts w:ascii="Cambria" w:hAnsi="Cambria" w:cs="Times New Roman"/>
        </w:rPr>
        <w:t xml:space="preserve"> do pleno cumprimento das exigências legais, otimizando o gerenciamento de contratos administrativos e promovendo a transparência e a eficiência no uso dos recursos públicos, alinhando-se ao controle interno e à boa gestão pública</w:t>
      </w:r>
      <w:r w:rsidR="00E51720" w:rsidRPr="00817504">
        <w:rPr>
          <w:rFonts w:ascii="Cambria" w:hAnsi="Cambria" w:cs="Times New Roman"/>
        </w:rPr>
        <w:t>.</w:t>
      </w:r>
    </w:p>
    <w:p w14:paraId="269A9925" w14:textId="44FF278A" w:rsidR="00613EB3" w:rsidRPr="000B48FC" w:rsidRDefault="00613EB3" w:rsidP="00AD2369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  <w:t>DESCRIÇÃO DETALHADA DO OBJETO</w:t>
      </w:r>
    </w:p>
    <w:p w14:paraId="44052BC3" w14:textId="77777777" w:rsidR="00613EB3" w:rsidRDefault="00613EB3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right="512"/>
        <w:jc w:val="both"/>
        <w:rPr>
          <w:rFonts w:ascii="Cambria" w:eastAsia="Cambria" w:hAnsi="Cambria" w:cs="Cambria"/>
          <w:b/>
          <w:kern w:val="0"/>
          <w:lang w:val="pt-PT"/>
          <w14:ligatures w14:val="none"/>
        </w:rPr>
      </w:pPr>
    </w:p>
    <w:tbl>
      <w:tblPr>
        <w:tblW w:w="941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3297"/>
        <w:gridCol w:w="1658"/>
        <w:gridCol w:w="973"/>
        <w:gridCol w:w="1344"/>
        <w:gridCol w:w="1363"/>
      </w:tblGrid>
      <w:tr w:rsidR="00360E52" w:rsidRPr="00360E52" w14:paraId="2382E144" w14:textId="77777777" w:rsidTr="00360E52">
        <w:trPr>
          <w:trHeight w:val="69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noWrap/>
            <w:vAlign w:val="center"/>
            <w:hideMark/>
          </w:tcPr>
          <w:p w14:paraId="427B6B60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vAlign w:val="center"/>
            <w:hideMark/>
          </w:tcPr>
          <w:p w14:paraId="13D327EE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noWrap/>
            <w:vAlign w:val="center"/>
            <w:hideMark/>
          </w:tcPr>
          <w:p w14:paraId="26AF9813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  <w:noWrap/>
            <w:vAlign w:val="center"/>
            <w:hideMark/>
          </w:tcPr>
          <w:p w14:paraId="3969D6BC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QUANT</w:t>
            </w:r>
          </w:p>
          <w:p w14:paraId="2C5FCF3A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(Mês)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</w:tcPr>
          <w:p w14:paraId="729DB13E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26A59B2D" w14:textId="77777777" w:rsidR="00360E52" w:rsidRPr="00360E52" w:rsidRDefault="00360E52" w:rsidP="008E4F1F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sz w:val="20"/>
                <w:szCs w:val="20"/>
              </w:rPr>
              <w:t>V.UNIT</w:t>
            </w:r>
          </w:p>
          <w:p w14:paraId="3A3EC65E" w14:textId="77777777" w:rsidR="00360E52" w:rsidRPr="00360E52" w:rsidRDefault="00360E52" w:rsidP="008E4F1F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154CE6C2" w14:textId="77777777" w:rsidR="00360E52" w:rsidRPr="00360E52" w:rsidRDefault="00360E52" w:rsidP="008E4F1F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FC5E8" w:fill="D9D9D9"/>
          </w:tcPr>
          <w:p w14:paraId="423D5573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460406BA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V.TOTAL</w:t>
            </w:r>
          </w:p>
        </w:tc>
      </w:tr>
      <w:tr w:rsidR="00360E52" w:rsidRPr="00360E52" w14:paraId="43CF2A83" w14:textId="77777777" w:rsidTr="00360E52">
        <w:trPr>
          <w:trHeight w:val="649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8C36B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D848" w14:textId="77777777" w:rsidR="00360E52" w:rsidRPr="00360E52" w:rsidRDefault="00360E52" w:rsidP="008E4F1F">
            <w:pPr>
              <w:spacing w:before="240" w:line="360" w:lineRule="auto"/>
              <w:jc w:val="both"/>
              <w:rPr>
                <w:rFonts w:ascii="Cambria" w:hAnsi="Cambria" w:cs="Calibri"/>
                <w:sz w:val="20"/>
                <w:szCs w:val="20"/>
                <w:lang w:bidi="pt-PT"/>
              </w:rPr>
            </w:pPr>
            <w:r w:rsidRPr="00360E52">
              <w:rPr>
                <w:rFonts w:ascii="Cambria" w:hAnsi="Cambria" w:cs="Calibri"/>
                <w:sz w:val="20"/>
                <w:szCs w:val="20"/>
                <w:lang w:bidi="pt-PT"/>
              </w:rPr>
              <w:t>IMPLANTAÇÃO DE SISTEMA E TREINAMENTO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F1819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5E09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F6048C7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  <w:p w14:paraId="2A3203B2" w14:textId="77777777" w:rsidR="00360E52" w:rsidRPr="00360E52" w:rsidRDefault="00360E52" w:rsidP="00360E52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R$ 600,00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C48D04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  <w:p w14:paraId="4F387436" w14:textId="77777777" w:rsidR="00360E52" w:rsidRPr="00360E52" w:rsidRDefault="00360E52" w:rsidP="00360E52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R$ 600,00</w:t>
            </w:r>
          </w:p>
        </w:tc>
      </w:tr>
      <w:tr w:rsidR="00360E52" w:rsidRPr="00360E52" w14:paraId="70C497E7" w14:textId="77777777" w:rsidTr="00360E52">
        <w:trPr>
          <w:trHeight w:val="649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B6D5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0203" w14:textId="77777777" w:rsidR="00360E52" w:rsidRPr="00360E52" w:rsidRDefault="00360E52" w:rsidP="008E4F1F">
            <w:pPr>
              <w:spacing w:before="240" w:line="360" w:lineRule="auto"/>
              <w:jc w:val="both"/>
              <w:rPr>
                <w:rFonts w:ascii="Cambria" w:hAnsi="Cambria" w:cs="Calibri"/>
                <w:sz w:val="20"/>
                <w:szCs w:val="20"/>
                <w:lang w:bidi="pt-PT"/>
              </w:rPr>
            </w:pPr>
            <w:r w:rsidRPr="00360E52">
              <w:rPr>
                <w:rFonts w:ascii="Cambria" w:hAnsi="Cambria" w:cs="Calibri"/>
                <w:sz w:val="20"/>
                <w:szCs w:val="20"/>
                <w:lang w:bidi="pt-PT"/>
              </w:rPr>
              <w:t>PRESTAÇÃO DE SERVIÇOS DE LOCAÇÃO DE SISTEMA DE GESTÃO DE CONTRATOS CONFORME A LEI Nº 14.133/21 E CONTROLE INTERNO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F1803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0CA5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2702D0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  <w:p w14:paraId="0EA3BC8F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  <w:p w14:paraId="257988E9" w14:textId="77777777" w:rsidR="00360E52" w:rsidRPr="00360E52" w:rsidRDefault="00360E52" w:rsidP="00360E52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R$ 1.200,00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860AC4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  <w:p w14:paraId="2B57DCEB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  <w:p w14:paraId="3289EFE3" w14:textId="77777777" w:rsidR="00360E52" w:rsidRPr="00360E52" w:rsidRDefault="00360E52" w:rsidP="00360E52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color w:val="000000"/>
                <w:sz w:val="20"/>
                <w:szCs w:val="20"/>
              </w:rPr>
              <w:t>R$ 14.400,00</w:t>
            </w:r>
          </w:p>
        </w:tc>
      </w:tr>
      <w:tr w:rsidR="00360E52" w:rsidRPr="00360E52" w14:paraId="2443C4A7" w14:textId="77777777" w:rsidTr="00360E52">
        <w:trPr>
          <w:trHeight w:val="649"/>
        </w:trPr>
        <w:tc>
          <w:tcPr>
            <w:tcW w:w="67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53CD" w14:textId="27C18F19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50186C" w14:textId="7777777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71C4C197" w14:textId="40155BB7" w:rsidR="00360E52" w:rsidRPr="00360E52" w:rsidRDefault="00360E52" w:rsidP="008E4F1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60E5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R$ 15.000,00</w:t>
            </w:r>
          </w:p>
        </w:tc>
      </w:tr>
    </w:tbl>
    <w:p w14:paraId="7DB512AE" w14:textId="77777777" w:rsidR="00613EB3" w:rsidRPr="00D75712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0B48FC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JUSTIFICATIVA DO OBJETO</w:t>
      </w:r>
    </w:p>
    <w:p w14:paraId="226DB6F9" w14:textId="2BC91A1D" w:rsidR="003E7282" w:rsidRPr="00817504" w:rsidRDefault="003E7282" w:rsidP="00AD2369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817504">
        <w:rPr>
          <w:rFonts w:cs="Times New Roman"/>
          <w:sz w:val="22"/>
          <w:szCs w:val="22"/>
        </w:rPr>
        <w:t xml:space="preserve">A Prefeitura Municipal de Vera Mendes-PI, em face da necessidade de </w:t>
      </w:r>
      <w:r w:rsidR="00360E52" w:rsidRPr="00817504">
        <w:rPr>
          <w:rFonts w:cs="Calibri"/>
          <w:b/>
          <w:bCs/>
        </w:rPr>
        <w:t xml:space="preserve">CONTRATAÇÃO DE EMPRESA PARA </w:t>
      </w:r>
      <w:r w:rsidR="00360E52" w:rsidRPr="00184484">
        <w:rPr>
          <w:rFonts w:cs="Calibri"/>
          <w:b/>
          <w:bCs/>
          <w:sz w:val="22"/>
          <w:szCs w:val="22"/>
          <w:lang w:bidi="pt-PT"/>
        </w:rPr>
        <w:t>PRESTAÇÃO DE SERV</w:t>
      </w:r>
      <w:r w:rsidR="00360E52">
        <w:rPr>
          <w:rFonts w:cs="Calibri"/>
          <w:b/>
          <w:bCs/>
          <w:sz w:val="22"/>
          <w:szCs w:val="22"/>
          <w:lang w:bidi="pt-PT"/>
        </w:rPr>
        <w:t>IÇOS DE LOCAÇÃO DE SISTEMA DE GESTÃO DE CONTRATOS CONFORME LEI Nº 14.133/21 E CONTROLE INTERNO, INCLUINDO IMPLANTAÇÃO DE SISTEMA E TREINAMENTO PARA SUPRIR AS NECESSIDADES DO MUNICÍPIO DE VERA MENDES-PI</w:t>
      </w:r>
      <w:r w:rsidRPr="00817504">
        <w:rPr>
          <w:rFonts w:cs="Times New Roman"/>
          <w:sz w:val="22"/>
          <w:szCs w:val="22"/>
        </w:rPr>
        <w:t>, justifica</w:t>
      </w:r>
      <w:r w:rsidR="00E51720" w:rsidRPr="00817504">
        <w:rPr>
          <w:rFonts w:cs="Times New Roman"/>
          <w:sz w:val="22"/>
          <w:szCs w:val="22"/>
        </w:rPr>
        <w:t>-se devido a necessidade de</w:t>
      </w:r>
      <w:r w:rsidR="00405B7C" w:rsidRPr="00817504">
        <w:rPr>
          <w:rFonts w:cs="Times New Roman"/>
          <w:sz w:val="22"/>
          <w:szCs w:val="22"/>
        </w:rPr>
        <w:t xml:space="preserve"> assegurar o pleno cumprimento das exigências legais</w:t>
      </w:r>
      <w:r w:rsidRPr="00817504">
        <w:rPr>
          <w:rFonts w:cs="Times New Roman"/>
          <w:sz w:val="22"/>
          <w:szCs w:val="22"/>
        </w:rPr>
        <w:t xml:space="preserve">. </w:t>
      </w:r>
    </w:p>
    <w:p w14:paraId="5137E42A" w14:textId="35132B44" w:rsidR="003E7282" w:rsidRPr="00817504" w:rsidRDefault="00360E52" w:rsidP="00405B7C">
      <w:pPr>
        <w:pStyle w:val="PargrafodaLista"/>
        <w:spacing w:before="240" w:line="360" w:lineRule="auto"/>
        <w:ind w:left="0"/>
        <w:jc w:val="both"/>
        <w:rPr>
          <w:rFonts w:ascii="Cambria" w:hAnsi="Cambria" w:cs="Calibri"/>
        </w:rPr>
      </w:pPr>
      <w:r w:rsidRPr="00360E52">
        <w:rPr>
          <w:rFonts w:ascii="Cambria" w:hAnsi="Cambria" w:cs="Calibri"/>
        </w:rPr>
        <w:lastRenderedPageBreak/>
        <w:t>A necessidade de contratação de uma empresa especializada se justifica, pois o sistema a ser contratado deverá ser capaz de automatizar o gerenciamento de contratos administrativos, desde a sua formalização até o acompanhamento da execução, garantindo que os prazos e condições acordadas sejam rigorosamente cumpridos. Além disso, a ferramenta deve proporcionar a geração de relatórios gerenciais, facilitando a fiscalização e o controle por parte da administração municipal.</w:t>
      </w:r>
    </w:p>
    <w:p w14:paraId="39DDF682" w14:textId="6817A0E4" w:rsidR="00385C68" w:rsidRPr="00817504" w:rsidRDefault="003E7282" w:rsidP="00AD2369">
      <w:pPr>
        <w:spacing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Destarte, imperiosa a necessidade de se contratar empresa especializada que tenha estrutura, material e equipamentos condizentes com </w:t>
      </w:r>
      <w:r w:rsidR="00EA12DC" w:rsidRPr="00817504">
        <w:rPr>
          <w:rFonts w:ascii="Cambria" w:hAnsi="Cambria" w:cs="Times New Roman"/>
        </w:rPr>
        <w:t>a execução</w:t>
      </w:r>
      <w:r w:rsidRPr="00817504">
        <w:rPr>
          <w:rFonts w:ascii="Cambria" w:hAnsi="Cambria" w:cs="Times New Roman"/>
        </w:rPr>
        <w:t xml:space="preserve"> satisfatóri</w:t>
      </w:r>
      <w:r w:rsidR="00EA12DC" w:rsidRPr="00817504">
        <w:rPr>
          <w:rFonts w:ascii="Cambria" w:hAnsi="Cambria" w:cs="Times New Roman"/>
        </w:rPr>
        <w:t>a</w:t>
      </w:r>
      <w:r w:rsidRPr="00817504">
        <w:rPr>
          <w:rFonts w:ascii="Cambria" w:hAnsi="Cambria" w:cs="Times New Roman"/>
        </w:rPr>
        <w:t xml:space="preserve"> destes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para o funcionamento regular desta Administração Pública</w:t>
      </w:r>
      <w:r w:rsidR="00385C68" w:rsidRPr="00817504">
        <w:rPr>
          <w:rFonts w:ascii="Cambria" w:hAnsi="Cambria" w:cs="Times New Roman"/>
        </w:rPr>
        <w:t>.</w:t>
      </w:r>
    </w:p>
    <w:p w14:paraId="715B2253" w14:textId="61B7DFC5" w:rsidR="00D126ED" w:rsidRPr="000B48FC" w:rsidRDefault="003E7282" w:rsidP="00C87898">
      <w:pPr>
        <w:pStyle w:val="PargrafodaLista"/>
        <w:numPr>
          <w:ilvl w:val="0"/>
          <w:numId w:val="2"/>
        </w:numPr>
        <w:ind w:hanging="72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JUSTIFICATIVA </w:t>
      </w:r>
      <w:r w:rsidR="00EA12DC" w:rsidRPr="000B48FC">
        <w:rPr>
          <w:rFonts w:ascii="Cambria" w:hAnsi="Cambria" w:cs="Times New Roman"/>
          <w:b/>
          <w:bCs/>
          <w:sz w:val="24"/>
          <w:szCs w:val="24"/>
        </w:rPr>
        <w:t>DA MODALIDADE E BASE LEGAL</w:t>
      </w:r>
    </w:p>
    <w:p w14:paraId="0BAA5C36" w14:textId="7CEC2411" w:rsidR="00613EB3" w:rsidRPr="000B48FC" w:rsidRDefault="003E7282" w:rsidP="00EA12DC">
      <w:pPr>
        <w:spacing w:line="360" w:lineRule="auto"/>
        <w:ind w:right="-35"/>
        <w:jc w:val="both"/>
        <w:textAlignment w:val="baseline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4.1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objeto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trata-se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contratação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direta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por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inexigibilidade,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em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razão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 inviabilidade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competição,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devido a contratação de serviços técnicos especializados de natureza predominantemente intelectual com profissionais ou empresas de notória especialização, consagrado pela crítica especializada ou pela opinião pública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que trata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 Art. 74, III, alínea c</w:t>
      </w:r>
      <w:r w:rsidR="00360E52">
        <w:rPr>
          <w:rFonts w:ascii="Cambria" w:hAnsi="Cambria" w:cs="Times New Roman"/>
          <w:color w:val="0C0C0C"/>
          <w:w w:val="105"/>
        </w:rPr>
        <w:t xml:space="preserve"> e f</w:t>
      </w:r>
      <w:r w:rsidR="00EA12DC" w:rsidRPr="00817504">
        <w:rPr>
          <w:rFonts w:ascii="Cambria" w:hAnsi="Cambria" w:cs="Times New Roman"/>
          <w:color w:val="0C0C0C"/>
          <w:w w:val="105"/>
        </w:rPr>
        <w:t xml:space="preserve"> da Lei n°</w:t>
      </w:r>
      <w:r w:rsidR="00EA12DC" w:rsidRPr="00817504">
        <w:rPr>
          <w:rFonts w:ascii="Cambria" w:hAnsi="Cambria" w:cs="Times New Roman"/>
          <w:color w:val="0C0C0C"/>
          <w:spacing w:val="-3"/>
          <w:w w:val="105"/>
        </w:rPr>
        <w:t xml:space="preserve"> 14</w:t>
      </w:r>
      <w:r w:rsidR="00EA12DC" w:rsidRPr="00817504">
        <w:rPr>
          <w:rFonts w:ascii="Cambria" w:hAnsi="Cambria" w:cs="Times New Roman"/>
          <w:color w:val="0C0C0C"/>
          <w:w w:val="105"/>
        </w:rPr>
        <w:t>.133, de 2021</w:t>
      </w:r>
      <w:r w:rsidRPr="00817504">
        <w:rPr>
          <w:rFonts w:ascii="Cambria" w:hAnsi="Cambria" w:cs="Times New Roman"/>
        </w:rPr>
        <w:t>.</w:t>
      </w:r>
    </w:p>
    <w:p w14:paraId="53201A4F" w14:textId="1526ECD4" w:rsidR="00D126ED" w:rsidRPr="000B48FC" w:rsidRDefault="000B48FC" w:rsidP="00AD236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DA VIGÊNCIA E DO PRAZO</w:t>
      </w:r>
    </w:p>
    <w:p w14:paraId="02E7D4A9" w14:textId="779CCF58" w:rsidR="000B48FC" w:rsidRPr="00817504" w:rsidRDefault="000B48FC" w:rsidP="00AD2369">
      <w:pPr>
        <w:pStyle w:val="PargrafodaLista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contrato terá vigência de </w:t>
      </w:r>
      <w:r w:rsidR="00817504" w:rsidRPr="00817504">
        <w:rPr>
          <w:rFonts w:ascii="Cambria" w:hAnsi="Cambria" w:cs="Times New Roman"/>
        </w:rPr>
        <w:t>12</w:t>
      </w:r>
      <w:r w:rsidRPr="00817504">
        <w:rPr>
          <w:rFonts w:ascii="Cambria" w:hAnsi="Cambria" w:cs="Times New Roman"/>
        </w:rPr>
        <w:t xml:space="preserve"> (</w:t>
      </w:r>
      <w:r w:rsidR="00817504" w:rsidRPr="00817504">
        <w:rPr>
          <w:rFonts w:ascii="Cambria" w:hAnsi="Cambria" w:cs="Times New Roman"/>
        </w:rPr>
        <w:t>doze</w:t>
      </w:r>
      <w:r w:rsidRPr="00817504">
        <w:rPr>
          <w:rFonts w:ascii="Cambria" w:hAnsi="Cambria" w:cs="Times New Roman"/>
        </w:rPr>
        <w:t>) meses.</w:t>
      </w:r>
    </w:p>
    <w:p w14:paraId="39C4AD14" w14:textId="1BAD72B7" w:rsidR="000B48FC" w:rsidRPr="00817504" w:rsidRDefault="000B48FC" w:rsidP="00817504">
      <w:pPr>
        <w:pStyle w:val="PargrafodaLista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Para o prazo de execução dos serviços deverá ser considerado o início do prazo de execução após a emissão da Ordem de Serviços pela Contratante. </w:t>
      </w:r>
    </w:p>
    <w:p w14:paraId="2C517A8F" w14:textId="77777777" w:rsidR="00886FC7" w:rsidRPr="000B48FC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  <w:sz w:val="24"/>
          <w:szCs w:val="24"/>
        </w:rPr>
      </w:pPr>
    </w:p>
    <w:p w14:paraId="76218CD4" w14:textId="360FF0EA" w:rsidR="00886FC7" w:rsidRPr="000B48FC" w:rsidRDefault="00F16956" w:rsidP="0031158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color w:val="000000"/>
          <w:sz w:val="24"/>
          <w:szCs w:val="24"/>
        </w:rPr>
        <w:t>DESCRIÇÃO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SOLUÇÃO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COMO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UM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TODO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CONSIDERADO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CICLO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DE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VIDA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OBJETO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E ESPECIFICAÇÃO DO PRODUTO</w:t>
      </w:r>
    </w:p>
    <w:p w14:paraId="2F11B66D" w14:textId="2E7F97ED" w:rsidR="00F16956" w:rsidRPr="00817504" w:rsidRDefault="00F16956" w:rsidP="00311588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lang w:val="pt-PT"/>
        </w:rPr>
      </w:pPr>
      <w:r w:rsidRPr="00817504">
        <w:rPr>
          <w:rFonts w:ascii="Cambria" w:hAnsi="Cambria" w:cs="Times New Roman"/>
          <w:lang w:val="pt-PT"/>
        </w:rPr>
        <w:t>A descrição da solução como um todo encontra-se pormenorizada em tópico específico dos Estudos Técnicos Preliminares, apêndice deste Termo de Referência.</w:t>
      </w:r>
    </w:p>
    <w:p w14:paraId="5E6D9F28" w14:textId="77777777" w:rsidR="007A4A90" w:rsidRPr="000B48FC" w:rsidRDefault="007A4A90" w:rsidP="00311588">
      <w:pPr>
        <w:tabs>
          <w:tab w:val="left" w:pos="284"/>
          <w:tab w:val="left" w:pos="426"/>
        </w:tabs>
        <w:spacing w:after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A42D85C" w14:textId="3117BC0E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 REQUISITOS DA CONTRATAÇÃO</w:t>
      </w:r>
    </w:p>
    <w:p w14:paraId="5396E5AF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Da exigência de amostra</w:t>
      </w:r>
    </w:p>
    <w:p w14:paraId="65C1A042" w14:textId="17019218" w:rsidR="00886FC7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Não será exigida amostra para a presente contratação. </w:t>
      </w:r>
    </w:p>
    <w:p w14:paraId="69A3DEE8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24AB2611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Subcontratação</w:t>
      </w:r>
    </w:p>
    <w:p w14:paraId="54E02328" w14:textId="0AC45996" w:rsidR="00F16956" w:rsidRPr="00817504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775D469D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Garantia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contratação</w:t>
      </w:r>
    </w:p>
    <w:p w14:paraId="506AE20E" w14:textId="6C920F99" w:rsidR="00F16956" w:rsidRPr="00817504" w:rsidRDefault="00F16956" w:rsidP="00AD2369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817504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de 2021, pelas razões constantes do Estudo Técnico Preliminar.</w:t>
      </w:r>
    </w:p>
    <w:p w14:paraId="41EC11F5" w14:textId="77777777" w:rsidR="007A4A90" w:rsidRPr="000B48FC" w:rsidRDefault="007A4A90" w:rsidP="00AD2369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360" w:lineRule="auto"/>
        <w:ind w:left="0"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</w:p>
    <w:p w14:paraId="09D7D0F2" w14:textId="5D4EA055" w:rsidR="00AB78F9" w:rsidRPr="000B48FC" w:rsidRDefault="00AB78F9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OBRIGAÇÕES DA CONTRATANTE</w:t>
      </w:r>
      <w:r w:rsidR="009D6AA4" w:rsidRPr="000B48FC">
        <w:rPr>
          <w:rFonts w:ascii="Cambria" w:hAnsi="Cambria" w:cs="Times New Roman"/>
          <w:b/>
          <w:bCs/>
          <w:sz w:val="24"/>
          <w:szCs w:val="24"/>
        </w:rPr>
        <w:t xml:space="preserve"> E CONTRATADA</w:t>
      </w:r>
    </w:p>
    <w:p w14:paraId="168C7CAF" w14:textId="117BB746" w:rsidR="00360E52" w:rsidRPr="00F21792" w:rsidRDefault="009D6AA4" w:rsidP="00360E52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0B48FC">
        <w:rPr>
          <w:rFonts w:cs="Times New Roman"/>
          <w:b/>
          <w:bCs/>
        </w:rPr>
        <w:lastRenderedPageBreak/>
        <w:t>7.</w:t>
      </w:r>
      <w:r w:rsidR="00360E52">
        <w:rPr>
          <w:rFonts w:cs="Times New Roman"/>
          <w:b/>
          <w:bCs/>
        </w:rPr>
        <w:t>1</w:t>
      </w:r>
      <w:r w:rsidR="00360E52" w:rsidRPr="00360E52">
        <w:rPr>
          <w:rFonts w:eastAsia="Bookman Old Style" w:cs="Bookman Old Style"/>
          <w:sz w:val="22"/>
          <w:szCs w:val="22"/>
        </w:rPr>
        <w:t xml:space="preserve"> </w:t>
      </w:r>
      <w:r w:rsidR="00360E52" w:rsidRPr="00F21792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contrato, cabe à contratada:</w:t>
      </w:r>
    </w:p>
    <w:p w14:paraId="2697FF92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a) </w:t>
      </w:r>
      <w:r w:rsidRPr="00F21792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30344E25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b) </w:t>
      </w:r>
      <w:r w:rsidRPr="00F21792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61A6AD91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c) </w:t>
      </w:r>
      <w:r w:rsidRPr="00F21792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525D827E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d) </w:t>
      </w:r>
      <w:r w:rsidRPr="00F21792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68640E69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e) </w:t>
      </w:r>
      <w:r w:rsidRPr="00F21792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6189CEE6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f) </w:t>
      </w:r>
      <w:r w:rsidRPr="00F21792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administrativa;</w:t>
      </w:r>
    </w:p>
    <w:p w14:paraId="7ED337F3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g) </w:t>
      </w:r>
      <w:r w:rsidRPr="00F21792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081662C9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h) </w:t>
      </w:r>
      <w:r w:rsidRPr="00F21792">
        <w:rPr>
          <w:rFonts w:cs="Times New Roman"/>
          <w:sz w:val="22"/>
          <w:szCs w:val="22"/>
        </w:rPr>
        <w:t xml:space="preserve"> </w:t>
      </w:r>
      <w:r w:rsidRPr="00F21792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5DD87616" w14:textId="77777777" w:rsidR="00360E5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i) </w:t>
      </w:r>
      <w:r w:rsidRPr="00F21792">
        <w:rPr>
          <w:rFonts w:eastAsia="Bookman Old Style" w:cs="Bookman Old Style"/>
          <w:sz w:val="22"/>
          <w:szCs w:val="22"/>
        </w:rPr>
        <w:t>Assumir inteira responsabilidade pela execução do contrato e efetuá-lo de acordo com as</w:t>
      </w:r>
      <w:r>
        <w:rPr>
          <w:rFonts w:eastAsia="Bookman Old Style" w:cs="Bookman Old Style"/>
          <w:sz w:val="22"/>
          <w:szCs w:val="22"/>
        </w:rPr>
        <w:t xml:space="preserve"> </w:t>
      </w:r>
      <w:r w:rsidRPr="00F21792">
        <w:rPr>
          <w:rFonts w:eastAsia="Bookman Old Style" w:cs="Bookman Old Style"/>
          <w:sz w:val="22"/>
          <w:szCs w:val="22"/>
        </w:rPr>
        <w:t>especificações constantes da proposta e/ou instruções do contrato</w:t>
      </w:r>
      <w:r>
        <w:rPr>
          <w:rFonts w:eastAsia="Bookman Old Style" w:cs="Bookman Old Style"/>
          <w:sz w:val="22"/>
          <w:szCs w:val="22"/>
        </w:rPr>
        <w:t>.</w:t>
      </w:r>
    </w:p>
    <w:p w14:paraId="54370541" w14:textId="77777777" w:rsidR="00360E52" w:rsidRPr="00F21792" w:rsidRDefault="00360E52" w:rsidP="00360E52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</w:p>
    <w:p w14:paraId="5DD17198" w14:textId="77777777" w:rsidR="00360E52" w:rsidRPr="009D1C7F" w:rsidRDefault="00360E52" w:rsidP="00360E52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/>
          <w:bCs/>
        </w:rPr>
      </w:pPr>
      <w:r w:rsidRPr="009D1C7F">
        <w:rPr>
          <w:rFonts w:ascii="Cambria" w:hAnsi="Cambria" w:cs="Times New Roman"/>
          <w:b/>
          <w:bCs/>
        </w:rPr>
        <w:t>OBRIGAÇÕES DA CONTRATANTE</w:t>
      </w:r>
    </w:p>
    <w:p w14:paraId="46FFAC09" w14:textId="77777777" w:rsidR="00360E52" w:rsidRPr="009D1C7F" w:rsidRDefault="00360E52" w:rsidP="00360E52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9D1C7F">
        <w:rPr>
          <w:rFonts w:ascii="Cambria" w:hAnsi="Cambria" w:cs="Times New Roman"/>
        </w:rPr>
        <w:t xml:space="preserve">Cabe à Contratante: </w:t>
      </w:r>
    </w:p>
    <w:p w14:paraId="5977AA9D" w14:textId="77777777" w:rsidR="00360E52" w:rsidRPr="009D1C7F" w:rsidRDefault="00360E52" w:rsidP="00360E52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a)</w:t>
      </w:r>
      <w:r w:rsidRPr="009D1C7F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5ED91E9A" w14:textId="77777777" w:rsidR="00360E52" w:rsidRPr="009D1C7F" w:rsidRDefault="00360E52" w:rsidP="00360E52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b)</w:t>
      </w:r>
      <w:r w:rsidRPr="009D1C7F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4A77E46B" w14:textId="77777777" w:rsidR="00360E52" w:rsidRPr="009D1C7F" w:rsidRDefault="00360E52" w:rsidP="00360E52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c)</w:t>
      </w:r>
      <w:r w:rsidRPr="009D1C7F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7482BAFA" w14:textId="77777777" w:rsidR="00360E52" w:rsidRPr="009D1C7F" w:rsidRDefault="00360E52" w:rsidP="00360E52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d)</w:t>
      </w:r>
      <w:r w:rsidRPr="009D1C7F">
        <w:rPr>
          <w:rFonts w:eastAsia="Bookman Old Style" w:cs="Bookman Old Style"/>
          <w:sz w:val="22"/>
          <w:szCs w:val="22"/>
        </w:rPr>
        <w:t xml:space="preserve"> Comunicar à empresa sobre possíveis irregularidades observadas nos serviços fornecidos, para imediata substituição;</w:t>
      </w:r>
    </w:p>
    <w:p w14:paraId="564C0E6B" w14:textId="77777777" w:rsidR="00360E52" w:rsidRPr="009D1C7F" w:rsidRDefault="00360E52" w:rsidP="00360E52">
      <w:pPr>
        <w:tabs>
          <w:tab w:val="left" w:pos="284"/>
          <w:tab w:val="left" w:pos="426"/>
        </w:tabs>
        <w:spacing w:line="360" w:lineRule="auto"/>
        <w:jc w:val="both"/>
        <w:rPr>
          <w:rFonts w:ascii="Cambria" w:hAnsi="Cambria" w:cs="Times New Roman"/>
        </w:rPr>
      </w:pPr>
      <w:r w:rsidRPr="009D1C7F">
        <w:rPr>
          <w:rFonts w:ascii="Cambria" w:eastAsia="Bookman Old Style" w:hAnsi="Cambria" w:cs="Bookman Old Style"/>
          <w:b/>
          <w:bCs/>
        </w:rPr>
        <w:t>e)</w:t>
      </w:r>
      <w:r w:rsidRPr="009D1C7F">
        <w:rPr>
          <w:rFonts w:ascii="Cambria" w:eastAsia="Bookman Old Style" w:hAnsi="Cambria" w:cs="Bookman Old Style"/>
        </w:rPr>
        <w:t xml:space="preserve"> Verificar a regularidade de habilitação antes do pagamento.</w:t>
      </w:r>
    </w:p>
    <w:p w14:paraId="3ED1F39E" w14:textId="77777777" w:rsidR="00360E52" w:rsidRDefault="00360E52" w:rsidP="00360E52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7B9E9D7B" w14:textId="11794531" w:rsidR="009D6AA4" w:rsidRPr="00817504" w:rsidRDefault="00DA64C1" w:rsidP="00360E52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7.4 </w:t>
      </w:r>
      <w:r w:rsidR="00360E52" w:rsidRPr="00997B07">
        <w:rPr>
          <w:rFonts w:cs="Times New Roman"/>
        </w:rPr>
        <w:t>Não transferir a outrem a execução do objeto e demais obrigações avençadas</w:t>
      </w:r>
      <w:r w:rsidR="009D6AA4" w:rsidRPr="00817504">
        <w:rPr>
          <w:rFonts w:cs="Times New Roman"/>
        </w:rPr>
        <w:t>.</w:t>
      </w:r>
    </w:p>
    <w:p w14:paraId="5DA55960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3FCFF767" w14:textId="3B9B6481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54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MODELO DE EXECUÇÃO DO OBJETO LOCAL E PRAZO PARA </w:t>
      </w:r>
      <w:r w:rsidR="008F1E61" w:rsidRPr="000B48FC">
        <w:rPr>
          <w:rFonts w:ascii="Cambria" w:hAnsi="Cambria" w:cs="Times New Roman"/>
          <w:b/>
          <w:bCs/>
          <w:sz w:val="24"/>
          <w:szCs w:val="24"/>
        </w:rPr>
        <w:t>EXECUÇÃO</w:t>
      </w:r>
      <w:r w:rsidRPr="000B48F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2852FA5E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125BBAB9" w14:textId="617059E3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17504">
        <w:rPr>
          <w:rFonts w:ascii="Cambria" w:hAnsi="Cambria" w:cs="Times New Roman"/>
        </w:rPr>
        <w:t>A solicitação do serviço, objeto deste termo, será efetuado pelo Município através da Secretaria de</w:t>
      </w:r>
      <w:r w:rsidR="00EA12DC" w:rsidRPr="00817504">
        <w:rPr>
          <w:rFonts w:ascii="Cambria" w:hAnsi="Cambria" w:cs="Times New Roman"/>
        </w:rPr>
        <w:t xml:space="preserve"> </w:t>
      </w:r>
      <w:r w:rsidR="00EA12DC" w:rsidRPr="00817504">
        <w:rPr>
          <w:rFonts w:ascii="Cambria" w:hAnsi="Cambria" w:cs="Calibri"/>
        </w:rPr>
        <w:t xml:space="preserve">Municipal de </w:t>
      </w:r>
      <w:r w:rsidR="00EC6341">
        <w:rPr>
          <w:rFonts w:ascii="Cambria" w:hAnsi="Cambria" w:cs="Calibri"/>
        </w:rPr>
        <w:t xml:space="preserve">Administração e Planejamento </w:t>
      </w:r>
      <w:r w:rsidRPr="00817504">
        <w:rPr>
          <w:rFonts w:ascii="Cambria" w:hAnsi="Cambria" w:cs="Times New Roman"/>
        </w:rPr>
        <w:t xml:space="preserve">por meio de Nota de Empenho - NE, sendo encaminhada por correio eletrônico ao endereço indicado pelo </w:t>
      </w:r>
      <w:r w:rsidR="00DA64C1">
        <w:rPr>
          <w:rFonts w:ascii="Cambria" w:hAnsi="Cambria" w:cs="Times New Roman"/>
        </w:rPr>
        <w:t>fornecedor</w:t>
      </w:r>
      <w:r w:rsidRPr="000B48FC">
        <w:rPr>
          <w:rFonts w:ascii="Cambria" w:hAnsi="Cambria" w:cs="Times New Roman"/>
          <w:sz w:val="24"/>
          <w:szCs w:val="24"/>
        </w:rPr>
        <w:t xml:space="preserve">. </w:t>
      </w:r>
    </w:p>
    <w:p w14:paraId="1AC80229" w14:textId="4BC8B2EE" w:rsidR="00EA12DC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lastRenderedPageBreak/>
        <w:t>A Contratada e a Contratante declaram total vinculação aos termos, exigências e condições da Lei nº 14.133/21</w:t>
      </w:r>
      <w:r w:rsidR="00EC6341">
        <w:rPr>
          <w:rFonts w:ascii="Cambria" w:hAnsi="Cambria" w:cs="Times New Roman"/>
        </w:rPr>
        <w:t>.</w:t>
      </w:r>
    </w:p>
    <w:p w14:paraId="539F889C" w14:textId="085BC11E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Os serviços deverão ser prestados de acordo com a necessidade da Contratante.</w:t>
      </w:r>
    </w:p>
    <w:p w14:paraId="70B89BF5" w14:textId="2BFD9C2F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A aceitação dos serviços não exclui nem reduz a responsabilidade da empresa contratada com relação às especificações divergentes.</w:t>
      </w:r>
    </w:p>
    <w:p w14:paraId="24F89B4A" w14:textId="1A9CBF8D" w:rsidR="00311588" w:rsidRPr="00817504" w:rsidRDefault="00311588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A contratada deverá garantir a disponibilidade logística necessária para atender </w:t>
      </w:r>
      <w:r w:rsidR="00EA12DC" w:rsidRPr="00817504">
        <w:rPr>
          <w:rFonts w:ascii="Cambria" w:hAnsi="Cambria" w:cs="Times New Roman"/>
        </w:rPr>
        <w:t>a execução do</w:t>
      </w:r>
      <w:r w:rsidRPr="00817504">
        <w:rPr>
          <w:rFonts w:ascii="Cambria" w:hAnsi="Cambria" w:cs="Times New Roman"/>
        </w:rPr>
        <w:t>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em todos os locais definidos, bem como assegurar a qualidade e a integridade dos </w:t>
      </w:r>
      <w:r w:rsidR="00EA12DC" w:rsidRPr="00817504">
        <w:rPr>
          <w:rFonts w:ascii="Cambria" w:hAnsi="Cambria" w:cs="Times New Roman"/>
        </w:rPr>
        <w:t>serviços</w:t>
      </w:r>
      <w:r w:rsidRPr="00817504">
        <w:rPr>
          <w:rFonts w:ascii="Cambria" w:hAnsi="Cambria" w:cs="Times New Roman"/>
        </w:rPr>
        <w:t xml:space="preserve"> durante </w:t>
      </w:r>
      <w:r w:rsidR="00EA12DC" w:rsidRPr="00817504">
        <w:rPr>
          <w:rFonts w:ascii="Cambria" w:hAnsi="Cambria" w:cs="Times New Roman"/>
        </w:rPr>
        <w:t>todo o contrato.</w:t>
      </w:r>
    </w:p>
    <w:p w14:paraId="4406BF0D" w14:textId="77777777" w:rsidR="00111E07" w:rsidRPr="000B48FC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04BE1D8" w14:textId="6070E720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MODELO DE GESTÃO DO CONTRATO</w:t>
      </w:r>
    </w:p>
    <w:p w14:paraId="11671048" w14:textId="70631A06" w:rsidR="00111E07" w:rsidRPr="00EC6341" w:rsidRDefault="00111E07" w:rsidP="00AD2369">
      <w:pPr>
        <w:pStyle w:val="PargrafodaLista"/>
        <w:widowControl w:val="0"/>
        <w:numPr>
          <w:ilvl w:val="1"/>
          <w:numId w:val="2"/>
        </w:numPr>
        <w:tabs>
          <w:tab w:val="left" w:pos="426"/>
          <w:tab w:val="left" w:pos="704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F367A31" w14:textId="61ADC62E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85"/>
        </w:tabs>
        <w:autoSpaceDE w:val="0"/>
        <w:autoSpaceDN w:val="0"/>
        <w:spacing w:after="0" w:line="36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07FA6466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99"/>
        </w:tabs>
        <w:autoSpaceDE w:val="0"/>
        <w:autoSpaceDN w:val="0"/>
        <w:spacing w:after="0" w:line="36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 comunicações entre o órgão ou entidade e 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575F803B" w14:textId="1941F292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9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05C74941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EC6341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0B48FC" w:rsidRDefault="00111E07" w:rsidP="00AD2369">
      <w:pPr>
        <w:widowControl w:val="0"/>
        <w:autoSpaceDE w:val="0"/>
        <w:autoSpaceDN w:val="0"/>
        <w:spacing w:before="256"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Fiscalização</w:t>
      </w:r>
    </w:p>
    <w:p w14:paraId="15A622DB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665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EC6341" w:rsidRDefault="00111E07" w:rsidP="00AD2369">
      <w:pPr>
        <w:widowControl w:val="0"/>
        <w:autoSpaceDE w:val="0"/>
        <w:autoSpaceDN w:val="0"/>
        <w:spacing w:before="1"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0B48FC" w:rsidRDefault="00111E07" w:rsidP="00AD2369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Gestor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b/>
          <w:bCs/>
          <w:spacing w:val="-3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Contrato</w:t>
      </w:r>
    </w:p>
    <w:p w14:paraId="4F9DE98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16"/>
        </w:tabs>
        <w:autoSpaceDE w:val="0"/>
        <w:autoSpaceDN w:val="0"/>
        <w:spacing w:after="0" w:line="36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EC6341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28"/>
        </w:tabs>
        <w:autoSpaceDE w:val="0"/>
        <w:autoSpaceDN w:val="0"/>
        <w:spacing w:before="1"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before="257"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art. 21, III).</w:t>
      </w:r>
    </w:p>
    <w:p w14:paraId="1ADE1463" w14:textId="77777777" w:rsidR="00111E07" w:rsidRPr="000B48FC" w:rsidRDefault="00111E07" w:rsidP="00AD2369">
      <w:pPr>
        <w:widowControl w:val="0"/>
        <w:autoSpaceDE w:val="0"/>
        <w:autoSpaceDN w:val="0"/>
        <w:spacing w:before="2"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54C0D3E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19"/>
        </w:tabs>
        <w:autoSpaceDE w:val="0"/>
        <w:autoSpaceDN w:val="0"/>
        <w:spacing w:after="0" w:line="36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6"/>
        </w:tabs>
        <w:autoSpaceDE w:val="0"/>
        <w:autoSpaceDN w:val="0"/>
        <w:spacing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EC6341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2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0B48FC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4607A45E" w14:textId="77777777" w:rsidR="00897F4B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C6341">
        <w:rPr>
          <w:rFonts w:ascii="Cambria" w:eastAsia="Cambria" w:hAnsi="Cambria" w:cs="Times New Roman"/>
          <w:b/>
          <w:bCs/>
          <w:kern w:val="0"/>
          <w:sz w:val="24"/>
          <w:szCs w:val="24"/>
          <w:lang w:val="pt-PT"/>
          <w14:ligatures w14:val="none"/>
        </w:rPr>
        <w:t>9.13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enviar a documentação pertinente ao setor de contratos para a formalização dos procedimentos de liquidação e pagamento, no valor dimensionado pela fiscalização e gestão nos termos do contrato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.</w:t>
      </w:r>
    </w:p>
    <w:p w14:paraId="6E30621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2B011FF" w14:textId="2E397AFF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CRITÉRIOS DE MEDIÇÃO E DE PAGAMENTO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51B7D4F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Recebimento</w:t>
      </w:r>
    </w:p>
    <w:p w14:paraId="10A296BB" w14:textId="5C76DC99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47C38D84" w14:textId="753042E6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 xml:space="preserve">Os </w:t>
      </w:r>
      <w:r w:rsidR="008F1E61" w:rsidRPr="00EC6341">
        <w:rPr>
          <w:rFonts w:ascii="Cambria" w:hAnsi="Cambria" w:cs="Times New Roman"/>
          <w:lang w:val="pt-PT"/>
        </w:rPr>
        <w:t>serviços</w:t>
      </w:r>
      <w:r w:rsidRPr="00EC6341">
        <w:rPr>
          <w:rFonts w:ascii="Cambria" w:hAnsi="Cambria" w:cs="Times New Roman"/>
          <w:lang w:val="pt-PT"/>
        </w:rPr>
        <w:t xml:space="preserve"> poderão ser rejeitados, no todo ou em parte, inclusive antes do recebimento provisório, quando em desacordo com as especificações constantes no Termo de Referência e na proposta, devendo </w:t>
      </w:r>
      <w:r w:rsidRPr="00EC6341">
        <w:rPr>
          <w:rFonts w:ascii="Cambria" w:hAnsi="Cambria" w:cs="Times New Roman"/>
          <w:lang w:val="pt-PT"/>
        </w:rPr>
        <w:lastRenderedPageBreak/>
        <w:t>ser substituídos no prazo de 03 (três) horas, a contar da notificação da contratada, às suas custas, sem prejuízo da aplicação das penalidades.</w:t>
      </w:r>
    </w:p>
    <w:p w14:paraId="385AB1BF" w14:textId="61233879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 w14:paraId="02D4E2A0" w14:textId="6921B63A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>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699BF6A0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F1E61" w:rsidRPr="00EC6341">
        <w:rPr>
          <w:rFonts w:ascii="Cambria" w:hAnsi="Cambria" w:cs="Times New Roman"/>
          <w:lang w:val="pt-PT"/>
        </w:rPr>
        <w:t>serviços prestados</w:t>
      </w:r>
      <w:r w:rsidRPr="00EC6341">
        <w:rPr>
          <w:rFonts w:ascii="Cambria" w:hAnsi="Cambria" w:cs="Times New Roman"/>
          <w:lang w:val="pt-PT"/>
        </w:rPr>
        <w:t xml:space="preserve"> nem a responsabilidade ético-profissional pela perfeita execução do contrato.</w:t>
      </w:r>
    </w:p>
    <w:p w14:paraId="195294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020C98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Prazo de pagamento</w:t>
      </w:r>
    </w:p>
    <w:p w14:paraId="41B8CA3B" w14:textId="5B7C4019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>O pagamento será efetuado no prazo máximo de até 30 (trinta) dias, contados a partir da data final do período de adimplemento a que se referir.</w:t>
      </w:r>
    </w:p>
    <w:p w14:paraId="37D1D92E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693304A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Forma de pagamento</w:t>
      </w:r>
    </w:p>
    <w:p w14:paraId="72CC346D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4E05A8B0" w14:textId="77777777" w:rsidR="00111E07" w:rsidRPr="000B48FC" w:rsidRDefault="00111E07" w:rsidP="00AD2369">
      <w:pPr>
        <w:pStyle w:val="PargrafodaLista"/>
        <w:numPr>
          <w:ilvl w:val="2"/>
          <w:numId w:val="2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spacing w:line="360" w:lineRule="auto"/>
        <w:ind w:left="567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EC6341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</w:t>
      </w:r>
      <w:r w:rsidRPr="000B48FC">
        <w:rPr>
          <w:rFonts w:ascii="Cambria" w:hAnsi="Cambria" w:cs="Times New Roman"/>
          <w:sz w:val="24"/>
          <w:szCs w:val="24"/>
          <w:lang w:val="pt-PT"/>
        </w:rPr>
        <w:t>.</w:t>
      </w:r>
    </w:p>
    <w:p w14:paraId="4A2540C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567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233E2A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</w:t>
      </w:r>
      <w:r w:rsidRPr="00EC6341">
        <w:rPr>
          <w:rFonts w:ascii="Cambria" w:hAnsi="Cambria" w:cs="Times New Roman"/>
          <w:lang w:val="pt-PT"/>
        </w:rPr>
        <w:lastRenderedPageBreak/>
        <w:t>de documento oficial, de que faz jus ao tratamento tributário favorecido previsto na referida Lei Complementar.</w:t>
      </w:r>
    </w:p>
    <w:p w14:paraId="0A2731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1A14BB7B" w14:textId="77777777" w:rsidR="008F1E61" w:rsidRPr="000B48FC" w:rsidRDefault="008F1E61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DA SUBCONTRATAÇÃO </w:t>
      </w:r>
    </w:p>
    <w:p w14:paraId="6B8ABC8A" w14:textId="323B2C0B" w:rsidR="00111E07" w:rsidRPr="00EC6341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rPr>
          <w:rFonts w:ascii="Cambria" w:hAnsi="Cambria" w:cs="Times New Roman"/>
          <w:b/>
          <w:bCs/>
          <w:lang w:val="pt-PT"/>
        </w:rPr>
      </w:pPr>
      <w:r w:rsidRPr="00EC6341">
        <w:rPr>
          <w:rFonts w:ascii="Cambria" w:hAnsi="Cambria" w:cs="Times New Roman"/>
          <w:lang w:val="pt-PT"/>
        </w:rPr>
        <w:t>Não será admitida a subcontratação do objeto.</w:t>
      </w:r>
      <w:r w:rsidR="00111E07" w:rsidRPr="00EC6341">
        <w:rPr>
          <w:rFonts w:ascii="Cambria" w:hAnsi="Cambria" w:cs="Times New Roman"/>
          <w:lang w:val="pt-PT"/>
        </w:rPr>
        <w:tab/>
      </w:r>
    </w:p>
    <w:p w14:paraId="462BDF4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51AF343A" w14:textId="2417475D" w:rsidR="008F1E61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</w:t>
      </w:r>
      <w:r w:rsidR="008F1E61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A ALTERAÇÃO SUBJETIVA</w:t>
      </w:r>
    </w:p>
    <w:p w14:paraId="407F3D99" w14:textId="6B88C8F5" w:rsidR="008F1E61" w:rsidRPr="000B48FC" w:rsidRDefault="008F1E61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eastAsia="Calibri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11.1</w:t>
      </w:r>
      <w:r w:rsidR="000B48FC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 </w:t>
      </w:r>
      <w:r w:rsidR="000B48FC" w:rsidRPr="00EC6341">
        <w:rPr>
          <w:rFonts w:ascii="Cambria" w:eastAsia="Calibri" w:hAnsi="Cambria" w:cs="Times New Roman"/>
        </w:rPr>
        <w:t>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14:paraId="1CF1136C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782E50F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SANÇÕES ADMINISTRATIVAS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2684E18E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12.1</w:t>
      </w:r>
      <w:r>
        <w:rPr>
          <w:rFonts w:ascii="Cambria" w:hAnsi="Cambria"/>
        </w:rPr>
        <w:t xml:space="preserve"> </w:t>
      </w:r>
      <w:r w:rsidRPr="00EA3AFB">
        <w:rPr>
          <w:rFonts w:ascii="Cambria" w:hAnsi="Cambria"/>
        </w:rPr>
        <w:t>As penalidades administrativas aplicáveis à Contratada, por inadimplência, estão previstas no Capítulo I do Título IV da Lei nº 14.133/2021, sem prejuízo das sanções previstas neste Contrato.</w:t>
      </w:r>
    </w:p>
    <w:p w14:paraId="52CDCD6B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12.2.</w:t>
      </w:r>
      <w:r w:rsidRPr="00EA3AFB">
        <w:rPr>
          <w:rFonts w:ascii="Cambria" w:hAnsi="Cambria"/>
        </w:rPr>
        <w:t xml:space="preserve"> Conforme art. 155 da Lei nº 14.133/2021, o licitante ou o contratado será responsabilizado administrativamente pelas seguintes infrações: </w:t>
      </w:r>
    </w:p>
    <w:p w14:paraId="3C4E5844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a) dar causa à inexecução parcial do contrato;</w:t>
      </w:r>
    </w:p>
    <w:p w14:paraId="249CECBD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b) dar causa à inexecução parcial do contrato que cause grave dano à Administração, ao funcionamento dos serviços públicos ou ao interesse coletivo;</w:t>
      </w:r>
    </w:p>
    <w:p w14:paraId="3332E5CE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c) dar causa à inexecução total do contrato;</w:t>
      </w:r>
    </w:p>
    <w:p w14:paraId="42A6CCD4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d) deixar de entregar a documentação exigida para o certame;</w:t>
      </w:r>
    </w:p>
    <w:p w14:paraId="140CB550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e) não manter a proposta, salvo em decorrência de fato superveniente devidamente justificado;</w:t>
      </w:r>
    </w:p>
    <w:p w14:paraId="46947ECD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49D155EA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g)  ensejar o retardamento da execução ou da entrega do objeto da licitação sem motivo justificado;</w:t>
      </w:r>
    </w:p>
    <w:p w14:paraId="7ED9CADF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0448B730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i) fraudar a licitação ou praticar ato fraudulento na execução do contrato;</w:t>
      </w:r>
    </w:p>
    <w:p w14:paraId="74A86EBF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j) comportar-se de modo inidôneo ou cometer fraude de qualquer natureza;</w:t>
      </w:r>
    </w:p>
    <w:p w14:paraId="7CAD8C12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k) praticar atos ilícitos com vistas a frustrar os objetivos da licitação;</w:t>
      </w:r>
    </w:p>
    <w:p w14:paraId="28E383F4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 xml:space="preserve">l)  praticar ato lesivo previsto no </w:t>
      </w:r>
      <w:hyperlink r:id="rId8" w:history="1">
        <w:r w:rsidRPr="00EA3AF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3B49F365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12.3. Serão aplicadas ao responsável pelas infrações administrativas as seguintes sanções:</w:t>
      </w:r>
    </w:p>
    <w:p w14:paraId="1F0B35AC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a) advertência;</w:t>
      </w:r>
    </w:p>
    <w:p w14:paraId="0C16C202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b)  multa;</w:t>
      </w:r>
    </w:p>
    <w:p w14:paraId="601D74E1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c)  impedimento de licitar e contratar;</w:t>
      </w:r>
    </w:p>
    <w:p w14:paraId="6519D7BE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d) declaração de inidoneidade para licitar ou contratar.</w:t>
      </w:r>
    </w:p>
    <w:p w14:paraId="2B768577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12.4.</w:t>
      </w:r>
      <w:r w:rsidRPr="00EA3AFB">
        <w:rPr>
          <w:rFonts w:ascii="Cambria" w:hAnsi="Cambria"/>
        </w:rPr>
        <w:t xml:space="preserve"> A sanção prevista na alínea “a” do subitem 12.3 será aplicada exclusivamente pela infração administrativa prevista na alínea “a” do subitem 12.2, quando não se justificar a imposição de penalidade mais grave.</w:t>
      </w:r>
    </w:p>
    <w:p w14:paraId="7CEB0037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12.5.</w:t>
      </w:r>
      <w:r w:rsidRPr="00EA3AFB">
        <w:rPr>
          <w:rFonts w:ascii="Cambria" w:hAnsi="Cambria"/>
        </w:rPr>
        <w:t xml:space="preserve">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5E7443F3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12.6</w:t>
      </w:r>
      <w:r w:rsidRPr="00EA3AFB">
        <w:rPr>
          <w:rFonts w:ascii="Cambria" w:hAnsi="Cambria"/>
        </w:rPr>
        <w:t xml:space="preserve">. A sanção prevista na alínea “c” do subitem 12.3 será aplicada ao responsável pelas infrações administrativas previstas nas alíneas “b”, “c”, “d”, “e”, “f’ e “g” do subitem 12.2, quando não se justificar a </w:t>
      </w:r>
      <w:r w:rsidRPr="00EA3AFB">
        <w:rPr>
          <w:rFonts w:ascii="Cambria" w:hAnsi="Cambria"/>
        </w:rPr>
        <w:lastRenderedPageBreak/>
        <w:t>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2D5FB8CA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12.7</w:t>
      </w:r>
      <w:r w:rsidRPr="00EA3AFB">
        <w:rPr>
          <w:rFonts w:ascii="Cambria" w:hAnsi="Cambria"/>
        </w:rPr>
        <w:t xml:space="preserve">. A sanção prevista na </w:t>
      </w:r>
      <w:proofErr w:type="spellStart"/>
      <w:r w:rsidRPr="00EA3AFB">
        <w:rPr>
          <w:rFonts w:ascii="Cambria" w:hAnsi="Cambria"/>
        </w:rPr>
        <w:t>alíne</w:t>
      </w:r>
      <w:proofErr w:type="spellEnd"/>
      <w:r w:rsidRPr="00EA3AF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4C40EC5B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12.8</w:t>
      </w:r>
      <w:r w:rsidRPr="00EA3AFB">
        <w:rPr>
          <w:rFonts w:ascii="Cambria" w:hAnsi="Cambria"/>
        </w:rPr>
        <w:t>. As sanções previstas nas alíneas “a”, “c” e “d” do subitem 12.3 poderão ser aplicadas cumulativamente com a prevista na alínea “b” do referido subitem.</w:t>
      </w:r>
    </w:p>
    <w:p w14:paraId="71B84A21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12.9</w:t>
      </w:r>
      <w:r w:rsidRPr="00EA3AFB">
        <w:rPr>
          <w:rFonts w:ascii="Cambria" w:hAnsi="Cambria"/>
        </w:rPr>
        <w:t>.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600C37B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DA64C1">
        <w:rPr>
          <w:rFonts w:ascii="Cambria" w:hAnsi="Cambria"/>
          <w:b/>
          <w:bCs/>
        </w:rPr>
        <w:t>12.10</w:t>
      </w:r>
      <w:r w:rsidRPr="00EA3AFB">
        <w:rPr>
          <w:rFonts w:ascii="Cambria" w:hAnsi="Cambria"/>
        </w:rPr>
        <w:t>. Independentemente das sanções a que se referem os subitens anteriores, a Contratada está sujeita ao pagamento de indenização por perdas e danos, podendo ainda a administração propor que seja responsabilizada:</w:t>
      </w:r>
    </w:p>
    <w:p w14:paraId="26582A50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a) civilmente, nos termos do Código Civil;</w:t>
      </w:r>
    </w:p>
    <w:p w14:paraId="1F5C16BB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2AE0CB58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</w:rPr>
        <w:t>c</w:t>
      </w:r>
      <w:r w:rsidRPr="00EA3AFB">
        <w:rPr>
          <w:rFonts w:ascii="Cambria" w:hAnsi="Cambria"/>
          <w:b/>
          <w:bCs/>
        </w:rPr>
        <w:t xml:space="preserve">) </w:t>
      </w:r>
      <w:r w:rsidRPr="00EA3AFB">
        <w:rPr>
          <w:rFonts w:ascii="Cambria" w:hAnsi="Cambria"/>
        </w:rPr>
        <w:t>criminalmente, na forma da legislação pertinente.</w:t>
      </w:r>
    </w:p>
    <w:p w14:paraId="0CE5A66B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12.11.</w:t>
      </w:r>
      <w:r w:rsidRPr="00EA3AFB">
        <w:rPr>
          <w:rFonts w:ascii="Cambria" w:hAnsi="Cambria"/>
        </w:rPr>
        <w:t xml:space="preserve"> O cálculo da sanção de multa observará os seguintes parâmetros:</w:t>
      </w:r>
    </w:p>
    <w:p w14:paraId="612E1A3B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12.11.1.</w:t>
      </w:r>
      <w:r w:rsidRPr="00EA3AF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40B12E96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a)</w:t>
      </w:r>
      <w:r w:rsidRPr="00EA3AF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68551292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b)</w:t>
      </w:r>
      <w:r w:rsidRPr="00EA3AF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22B66254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c) </w:t>
      </w:r>
      <w:r w:rsidRPr="00EA3AF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49E6EA96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12.11.2. </w:t>
      </w:r>
      <w:r w:rsidRPr="00EA3AFB">
        <w:rPr>
          <w:rFonts w:ascii="Cambria" w:hAnsi="Cambria"/>
        </w:rPr>
        <w:t>Será aplicada multa de 1,5% (um e meio por cento) sobre o valor da contratação, quando a Contratada:</w:t>
      </w:r>
    </w:p>
    <w:p w14:paraId="3AC24D91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a)</w:t>
      </w:r>
      <w:r w:rsidRPr="00EA3AFB">
        <w:rPr>
          <w:rFonts w:ascii="Cambria" w:hAnsi="Cambria"/>
        </w:rPr>
        <w:t xml:space="preserve"> Prestar informações inexatas ou </w:t>
      </w:r>
      <w:proofErr w:type="spellStart"/>
      <w:r w:rsidRPr="00EA3AFB">
        <w:rPr>
          <w:rFonts w:ascii="Cambria" w:hAnsi="Cambria"/>
        </w:rPr>
        <w:t>obstacula</w:t>
      </w:r>
      <w:r>
        <w:rPr>
          <w:rFonts w:ascii="Cambria" w:hAnsi="Cambria"/>
        </w:rPr>
        <w:t>r</w:t>
      </w:r>
      <w:proofErr w:type="spellEnd"/>
      <w:r w:rsidRPr="00EA3AFB">
        <w:rPr>
          <w:rFonts w:ascii="Cambria" w:hAnsi="Cambria"/>
        </w:rPr>
        <w:t xml:space="preserve"> o acesso à fiscalização da contratante no cumprimento de suas atividades;</w:t>
      </w:r>
    </w:p>
    <w:p w14:paraId="4B267BAE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b)</w:t>
      </w:r>
      <w:r w:rsidRPr="00EA3AFB">
        <w:rPr>
          <w:rFonts w:ascii="Cambria" w:hAnsi="Cambria"/>
        </w:rPr>
        <w:t xml:space="preserve"> Desatender às determinações da fiscalização da contratante; e</w:t>
      </w:r>
    </w:p>
    <w:p w14:paraId="1E63B168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c)</w:t>
      </w:r>
      <w:r w:rsidRPr="00EA3AF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7199AB89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12.11.3. </w:t>
      </w:r>
      <w:r w:rsidRPr="00EA3AFB">
        <w:rPr>
          <w:rFonts w:ascii="Cambria" w:hAnsi="Cambria"/>
        </w:rPr>
        <w:t>Será aplicada multa de 2% (dois por cento) sobre o valor da contratação quando a Contratada:</w:t>
      </w:r>
    </w:p>
    <w:p w14:paraId="2F568EEC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a)</w:t>
      </w:r>
      <w:r w:rsidRPr="00EA3AF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26B5B9CB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b)</w:t>
      </w:r>
      <w:r w:rsidRPr="00EA3AF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24A57438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 xml:space="preserve">12.12. </w:t>
      </w:r>
      <w:r w:rsidRPr="00EA3AFB">
        <w:rPr>
          <w:rFonts w:ascii="Cambria" w:hAnsi="Cambria"/>
        </w:rPr>
        <w:t>Nenhum pagamento será feito ao contratado que tenha sido multado, antes que tal penalidade seja descontada de seus haveres.</w:t>
      </w:r>
    </w:p>
    <w:p w14:paraId="7A684927" w14:textId="77777777" w:rsidR="00DA64C1" w:rsidRPr="00EA3AFB" w:rsidRDefault="00DA64C1" w:rsidP="00DA64C1">
      <w:pPr>
        <w:spacing w:after="0" w:line="240" w:lineRule="auto"/>
        <w:jc w:val="both"/>
        <w:rPr>
          <w:rFonts w:ascii="Cambria" w:hAnsi="Cambria"/>
        </w:rPr>
      </w:pPr>
      <w:r w:rsidRPr="00EA3AFB">
        <w:rPr>
          <w:rFonts w:ascii="Cambria" w:hAnsi="Cambria"/>
          <w:b/>
          <w:bCs/>
        </w:rPr>
        <w:t>12.13</w:t>
      </w:r>
      <w:r w:rsidRPr="00EA3AF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EA3AFB">
        <w:rPr>
          <w:rFonts w:ascii="Cambria" w:hAnsi="Cambria"/>
        </w:rPr>
        <w:t>arts</w:t>
      </w:r>
      <w:proofErr w:type="spellEnd"/>
      <w:r w:rsidRPr="00EA3AFB">
        <w:rPr>
          <w:rFonts w:ascii="Cambria" w:hAnsi="Cambria"/>
        </w:rPr>
        <w:t>. 157 a 160 da Lei nº 14.133/2021.</w:t>
      </w:r>
    </w:p>
    <w:p w14:paraId="719F44DD" w14:textId="0DCB61F2" w:rsidR="00111E07" w:rsidRPr="00A36E64" w:rsidRDefault="00DA64C1" w:rsidP="00DA64C1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lang w:val="pt-PT"/>
        </w:rPr>
      </w:pPr>
      <w:r w:rsidRPr="00EA3AFB">
        <w:rPr>
          <w:rFonts w:ascii="Cambria" w:hAnsi="Cambria"/>
          <w:b/>
          <w:bCs/>
        </w:rPr>
        <w:t xml:space="preserve">12.14. </w:t>
      </w:r>
      <w:r w:rsidRPr="00EA3AFB">
        <w:rPr>
          <w:rFonts w:ascii="Cambria" w:hAnsi="Cambria"/>
        </w:rPr>
        <w:t>As multas administrativas previstas neste instrumento não têm caráter compensatório e o seu pagamento não eximirá a Contratada de responsabilidade por perdas e danos decorrentes das infrações cometidas</w:t>
      </w:r>
      <w:r w:rsidR="00111E07" w:rsidRPr="00A36E64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3D8FC079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lastRenderedPageBreak/>
        <w:t>ESTIMATIVAS DO VALOR DA CONTRATAÇÃO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F9FCD30" w14:textId="1ED37A7E" w:rsidR="003402A0" w:rsidRPr="00A36E64" w:rsidRDefault="003402A0" w:rsidP="00AD2369">
      <w:pPr>
        <w:pStyle w:val="NormalWeb"/>
        <w:spacing w:line="360" w:lineRule="auto"/>
        <w:jc w:val="both"/>
        <w:rPr>
          <w:rFonts w:ascii="Cambria" w:hAnsi="Cambria"/>
          <w:sz w:val="22"/>
          <w:szCs w:val="22"/>
        </w:rPr>
      </w:pPr>
      <w:r w:rsidRPr="000B48FC">
        <w:rPr>
          <w:rFonts w:ascii="Cambria" w:hAnsi="Cambria"/>
          <w:b/>
          <w:bCs/>
        </w:rPr>
        <w:t>1</w:t>
      </w:r>
      <w:r w:rsidR="000B48FC" w:rsidRPr="000B48FC">
        <w:rPr>
          <w:rFonts w:ascii="Cambria" w:hAnsi="Cambria"/>
          <w:b/>
          <w:bCs/>
        </w:rPr>
        <w:t>3</w:t>
      </w:r>
      <w:r w:rsidRPr="000B48FC">
        <w:rPr>
          <w:rFonts w:ascii="Cambria" w:hAnsi="Cambria"/>
          <w:b/>
          <w:bCs/>
        </w:rPr>
        <w:t>.1</w:t>
      </w:r>
      <w:r w:rsidRPr="000B48FC">
        <w:rPr>
          <w:rFonts w:ascii="Cambria" w:hAnsi="Cambria"/>
        </w:rPr>
        <w:t xml:space="preserve"> </w:t>
      </w:r>
      <w:r w:rsidRPr="00A36E64">
        <w:rPr>
          <w:rFonts w:ascii="Cambria" w:hAnsi="Cambria"/>
          <w:sz w:val="22"/>
          <w:szCs w:val="22"/>
        </w:rPr>
        <w:t xml:space="preserve">A divulgação do valor estimado para </w:t>
      </w:r>
      <w:r w:rsidR="00DA64C1" w:rsidRPr="00817504">
        <w:rPr>
          <w:rFonts w:ascii="Cambria" w:hAnsi="Cambria"/>
        </w:rPr>
        <w:t xml:space="preserve">a </w:t>
      </w:r>
      <w:r w:rsidR="00DA64C1" w:rsidRPr="00817504">
        <w:rPr>
          <w:rFonts w:ascii="Cambria" w:hAnsi="Cambria" w:cs="Calibri"/>
          <w:b/>
          <w:bCs/>
        </w:rPr>
        <w:t xml:space="preserve">CONTRATAÇÃO DE EMPRESA PARA </w:t>
      </w:r>
      <w:r w:rsidR="00DA64C1" w:rsidRPr="00184484">
        <w:rPr>
          <w:rFonts w:ascii="Cambria" w:hAnsi="Cambria" w:cs="Calibri"/>
          <w:b/>
          <w:bCs/>
          <w:sz w:val="22"/>
          <w:szCs w:val="22"/>
          <w:lang w:bidi="pt-PT"/>
        </w:rPr>
        <w:t>PRESTAÇÃO DE SERV</w:t>
      </w:r>
      <w:r w:rsidR="00DA64C1">
        <w:rPr>
          <w:rFonts w:ascii="Cambria" w:hAnsi="Cambria" w:cs="Calibri"/>
          <w:b/>
          <w:bCs/>
          <w:sz w:val="22"/>
          <w:szCs w:val="22"/>
          <w:lang w:bidi="pt-PT"/>
        </w:rPr>
        <w:t>IÇOS DE LOCAÇÃO DE SISTEMA DE GESTÃO DE CONTRATOS CONFORME LEI Nº 14.133/21 E CONTROLE INTERNO, INCLUINDO IMPLANTAÇÃO DE SISTEMA E TREINAMENTO PARA SUPRIR AS NECESSIDADES DO MUNICÍPIO DE VERA MENDES-PI</w:t>
      </w:r>
      <w:r w:rsidR="00DA64C1">
        <w:rPr>
          <w:rFonts w:ascii="Cambria" w:hAnsi="Cambria" w:cs="Calibri"/>
          <w:b/>
          <w:bCs/>
          <w:sz w:val="22"/>
          <w:szCs w:val="22"/>
          <w:lang w:bidi="pt-PT"/>
        </w:rPr>
        <w:t xml:space="preserve">, </w:t>
      </w:r>
      <w:r w:rsidRPr="00A36E64">
        <w:rPr>
          <w:rFonts w:ascii="Cambria" w:hAnsi="Cambria"/>
          <w:sz w:val="22"/>
          <w:szCs w:val="22"/>
        </w:rPr>
        <w:t xml:space="preserve">visa assegurar a transparência </w:t>
      </w:r>
      <w:r w:rsidR="000B48FC" w:rsidRPr="00A36E64">
        <w:rPr>
          <w:rFonts w:ascii="Cambria" w:hAnsi="Cambria"/>
          <w:sz w:val="22"/>
          <w:szCs w:val="22"/>
        </w:rPr>
        <w:t>do processo</w:t>
      </w:r>
      <w:r w:rsidRPr="00A36E64">
        <w:rPr>
          <w:rFonts w:ascii="Cambria" w:hAnsi="Cambria"/>
          <w:sz w:val="22"/>
          <w:szCs w:val="22"/>
        </w:rPr>
        <w:t>, em conformidade com os princípios da publicidade e eficiência previstos na Lei nº 14.133/2021.</w:t>
      </w:r>
    </w:p>
    <w:p w14:paraId="2E559DAF" w14:textId="3658FA91" w:rsidR="00AD2369" w:rsidRPr="00DA64C1" w:rsidRDefault="00AD2369" w:rsidP="00DA64C1">
      <w:pPr>
        <w:spacing w:line="360" w:lineRule="auto"/>
        <w:jc w:val="both"/>
        <w:rPr>
          <w:rFonts w:ascii="Cambria" w:hAnsi="Cambria" w:cs="Calibri"/>
          <w:b/>
          <w:bCs/>
          <w:lang w:val="pt-PT"/>
        </w:rPr>
      </w:pPr>
      <w:r w:rsidRPr="00A36E64">
        <w:rPr>
          <w:rFonts w:ascii="Cambria" w:hAnsi="Cambria"/>
          <w:b/>
          <w:bCs/>
        </w:rPr>
        <w:t>13.2</w:t>
      </w:r>
      <w:r w:rsidRPr="00A36E64">
        <w:rPr>
          <w:rFonts w:ascii="Cambria" w:hAnsi="Cambria"/>
        </w:rPr>
        <w:t xml:space="preserve"> O valor total da contratação está orçado em </w:t>
      </w:r>
      <w:r w:rsidR="00001CF2" w:rsidRPr="00DA64C1">
        <w:rPr>
          <w:rFonts w:ascii="Cambria" w:hAnsi="Cambria"/>
          <w:b/>
          <w:bCs/>
        </w:rPr>
        <w:t>R</w:t>
      </w:r>
      <w:r w:rsidRPr="00DA64C1">
        <w:rPr>
          <w:rFonts w:ascii="Cambria" w:hAnsi="Cambria"/>
          <w:b/>
          <w:bCs/>
        </w:rPr>
        <w:t>$</w:t>
      </w:r>
      <w:r w:rsidR="00DA64C1" w:rsidRPr="00DA64C1">
        <w:rPr>
          <w:rFonts w:ascii="Cambria" w:hAnsi="Cambria"/>
          <w:b/>
          <w:bCs/>
        </w:rPr>
        <w:t xml:space="preserve"> 15.000,00 (quinze mil reais)</w:t>
      </w:r>
      <w:r w:rsidR="00DA64C1">
        <w:rPr>
          <w:rFonts w:ascii="Cambria" w:hAnsi="Cambria"/>
          <w:b/>
          <w:bCs/>
        </w:rPr>
        <w:t xml:space="preserve">, </w:t>
      </w:r>
      <w:r w:rsidR="00DA64C1" w:rsidRPr="00D600A0">
        <w:rPr>
          <w:rFonts w:ascii="Cambria" w:hAnsi="Cambria" w:cs="Calibri"/>
          <w:lang w:val="pt-PT"/>
        </w:rPr>
        <w:t>estando inclusas despesas de alimentação</w:t>
      </w:r>
      <w:r w:rsidR="00DA64C1">
        <w:rPr>
          <w:rFonts w:ascii="Cambria" w:hAnsi="Cambria" w:cs="Calibri"/>
          <w:lang w:val="pt-PT"/>
        </w:rPr>
        <w:t xml:space="preserve">, </w:t>
      </w:r>
      <w:r w:rsidR="00DA64C1" w:rsidRPr="00D600A0">
        <w:rPr>
          <w:rFonts w:ascii="Cambria" w:hAnsi="Cambria" w:cs="Calibri"/>
          <w:lang w:val="pt-PT"/>
        </w:rPr>
        <w:t>deslocamento</w:t>
      </w:r>
      <w:r w:rsidR="00DA64C1">
        <w:rPr>
          <w:rFonts w:ascii="Cambria" w:hAnsi="Cambria" w:cs="Calibri"/>
          <w:lang w:val="pt-PT"/>
        </w:rPr>
        <w:t xml:space="preserve"> e entre outras. </w:t>
      </w:r>
      <w:r w:rsidR="00DA64C1" w:rsidRPr="00DA7D93">
        <w:rPr>
          <w:rFonts w:ascii="Cambria" w:hAnsi="Cambria" w:cs="Calibri"/>
          <w:lang w:val="pt-PT"/>
        </w:rPr>
        <w:t>Vislumbra-se que tal valor é compatível com o praticado pelo mercado correspondente</w:t>
      </w:r>
    </w:p>
    <w:p w14:paraId="6EADB466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INFORMAÇÕES ORÇAMENTÁRIAS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143DB3F9" w14:textId="7F7CE2A6" w:rsidR="00111E07" w:rsidRPr="00A36E64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</w:rPr>
      </w:pPr>
      <w:r w:rsidRPr="00AD2369">
        <w:rPr>
          <w:rFonts w:ascii="Cambria" w:hAnsi="Cambria" w:cs="Times New Roman"/>
          <w:b/>
          <w:bCs/>
          <w:sz w:val="24"/>
          <w:szCs w:val="24"/>
        </w:rPr>
        <w:t>14.1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A36E64">
        <w:rPr>
          <w:rFonts w:ascii="Cambria" w:hAnsi="Cambria" w:cs="Times New Roman"/>
        </w:rPr>
        <w:t>As despesas decorrentes da execução dos serviços(s), objeto desta licitação correrão à conta orçamentária, a ser informada pelo setor financeiro deste município.</w:t>
      </w:r>
    </w:p>
    <w:p w14:paraId="0229920B" w14:textId="77777777" w:rsidR="000B48FC" w:rsidRPr="000B48FC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E2E0F0E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DISPOSIÇÕES FINAIS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7F7DAA7" w14:textId="530629FC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desatendimento de exigências formais não essenciais não importará no afastamento do proponente, desde que seja possível a aferição da sua qualificação e a exata compreensão da sua proposta;</w:t>
      </w:r>
    </w:p>
    <w:p w14:paraId="2A8C1581" w14:textId="77777777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As decisões referentes a este processo licitatório poderão ser comunicadas aos proponentes por qualquer meio de comunicação que comprove o recebimento ou, ainda, mediante publicação em Diário Oficial;</w:t>
      </w:r>
    </w:p>
    <w:p w14:paraId="3B779A92" w14:textId="67E0EDD8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0B48FC" w:rsidRPr="00A36E64">
        <w:rPr>
          <w:rFonts w:ascii="Cambria" w:hAnsi="Cambria" w:cs="Times New Roman"/>
          <w:lang w:val="pt-PT"/>
        </w:rPr>
        <w:t>Agente de Contratação.</w:t>
      </w:r>
    </w:p>
    <w:p w14:paraId="7671B03F" w14:textId="1463C936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 xml:space="preserve">A participação do proponente nesta </w:t>
      </w:r>
      <w:r w:rsidR="000B48FC" w:rsidRPr="00A36E64">
        <w:rPr>
          <w:rFonts w:ascii="Cambria" w:hAnsi="Cambria" w:cs="Times New Roman"/>
          <w:lang w:val="pt-PT"/>
        </w:rPr>
        <w:t>Inexegibilidade</w:t>
      </w:r>
      <w:r w:rsidRPr="00A36E64">
        <w:rPr>
          <w:rFonts w:ascii="Cambria" w:hAnsi="Cambria" w:cs="Times New Roman"/>
          <w:lang w:val="pt-PT"/>
        </w:rPr>
        <w:t xml:space="preserve"> implica em aceitação de todos os termos do </w:t>
      </w:r>
      <w:r w:rsidR="000B48FC" w:rsidRPr="00A36E64">
        <w:rPr>
          <w:rFonts w:ascii="Cambria" w:hAnsi="Cambria" w:cs="Times New Roman"/>
          <w:lang w:val="pt-PT"/>
        </w:rPr>
        <w:t>Termo de Referência</w:t>
      </w:r>
      <w:r w:rsidRPr="00A36E64">
        <w:rPr>
          <w:rFonts w:ascii="Cambria" w:hAnsi="Cambria" w:cs="Times New Roman"/>
          <w:lang w:val="pt-PT"/>
        </w:rPr>
        <w:t xml:space="preserve"> e seus anexos.</w:t>
      </w:r>
    </w:p>
    <w:p w14:paraId="02835F98" w14:textId="77777777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A36E64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lang w:val="pt-PT"/>
        </w:rPr>
      </w:pPr>
    </w:p>
    <w:p w14:paraId="68E266B9" w14:textId="27D3B72D" w:rsidR="00AB78F9" w:rsidRPr="00A36E64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</w:rPr>
      </w:pPr>
      <w:r w:rsidRPr="00A36E64">
        <w:rPr>
          <w:rFonts w:ascii="Cambria" w:hAnsi="Cambria" w:cs="Times New Roman"/>
        </w:rPr>
        <w:t>Vera Mendes – PI, na data de sua assinatura</w:t>
      </w:r>
    </w:p>
    <w:p w14:paraId="27A9E9CB" w14:textId="77777777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65F0C6AF" w14:textId="77777777" w:rsidR="00806E76" w:rsidRPr="000B48FC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2148C38C" w14:textId="3EDF3167" w:rsidR="00AD2369" w:rsidRPr="00DA7D93" w:rsidRDefault="00A36E64" w:rsidP="00AD2369">
      <w:pPr>
        <w:spacing w:after="0"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Flávio José de Carvalho</w:t>
      </w:r>
      <w:r w:rsidR="00DA64C1">
        <w:rPr>
          <w:rFonts w:ascii="Cambria" w:hAnsi="Cambria" w:cs="Calibri"/>
          <w:b/>
          <w:bCs/>
        </w:rPr>
        <w:t xml:space="preserve"> Sousa</w:t>
      </w:r>
    </w:p>
    <w:p w14:paraId="7F82942B" w14:textId="5087D44C" w:rsidR="00AD2369" w:rsidRPr="00D24582" w:rsidRDefault="00AD2369" w:rsidP="00AD2369">
      <w:pPr>
        <w:spacing w:after="0"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 xml:space="preserve">Secretaria Municipal de </w:t>
      </w:r>
      <w:r w:rsidR="00A36E64">
        <w:rPr>
          <w:rFonts w:ascii="Cambria" w:hAnsi="Cambria" w:cs="Calibri"/>
          <w:b/>
          <w:bCs/>
        </w:rPr>
        <w:t xml:space="preserve">Administração e Planejamento </w:t>
      </w:r>
    </w:p>
    <w:p w14:paraId="49A36064" w14:textId="1E96FBDB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sz w:val="24"/>
          <w:szCs w:val="24"/>
        </w:rPr>
      </w:pPr>
    </w:p>
    <w:sectPr w:rsidR="00141393" w:rsidRPr="000B48FC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C152" w14:textId="77777777" w:rsidR="00402510" w:rsidRDefault="00402510" w:rsidP="004739BD">
      <w:pPr>
        <w:spacing w:after="0" w:line="240" w:lineRule="auto"/>
      </w:pPr>
      <w:r>
        <w:separator/>
      </w:r>
    </w:p>
  </w:endnote>
  <w:endnote w:type="continuationSeparator" w:id="0">
    <w:p w14:paraId="051526BA" w14:textId="77777777" w:rsidR="00402510" w:rsidRDefault="00402510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6A8F" w14:textId="77777777" w:rsidR="00402510" w:rsidRDefault="00402510" w:rsidP="004739BD">
      <w:pPr>
        <w:spacing w:after="0" w:line="240" w:lineRule="auto"/>
      </w:pPr>
      <w:r>
        <w:separator/>
      </w:r>
    </w:p>
  </w:footnote>
  <w:footnote w:type="continuationSeparator" w:id="0">
    <w:p w14:paraId="19C4AC0A" w14:textId="77777777" w:rsidR="00402510" w:rsidRDefault="00402510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9DF0A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2203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5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5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4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1CF2"/>
    <w:rsid w:val="00015CAA"/>
    <w:rsid w:val="000B48FC"/>
    <w:rsid w:val="00111E07"/>
    <w:rsid w:val="00141393"/>
    <w:rsid w:val="0016748C"/>
    <w:rsid w:val="001A413B"/>
    <w:rsid w:val="001D5CC1"/>
    <w:rsid w:val="001E71E2"/>
    <w:rsid w:val="001E79B9"/>
    <w:rsid w:val="00210CF2"/>
    <w:rsid w:val="00280A94"/>
    <w:rsid w:val="002B69BC"/>
    <w:rsid w:val="002C3618"/>
    <w:rsid w:val="00303412"/>
    <w:rsid w:val="00311588"/>
    <w:rsid w:val="003148AE"/>
    <w:rsid w:val="003402A0"/>
    <w:rsid w:val="00360E52"/>
    <w:rsid w:val="0037626F"/>
    <w:rsid w:val="00385C68"/>
    <w:rsid w:val="00386FBD"/>
    <w:rsid w:val="003B4D2D"/>
    <w:rsid w:val="003E7282"/>
    <w:rsid w:val="00402510"/>
    <w:rsid w:val="00405B7C"/>
    <w:rsid w:val="004739BD"/>
    <w:rsid w:val="004B48DB"/>
    <w:rsid w:val="004C11B9"/>
    <w:rsid w:val="004C68C1"/>
    <w:rsid w:val="004E0483"/>
    <w:rsid w:val="00514F83"/>
    <w:rsid w:val="005F7632"/>
    <w:rsid w:val="00610F03"/>
    <w:rsid w:val="00613EB3"/>
    <w:rsid w:val="006653C8"/>
    <w:rsid w:val="006A752F"/>
    <w:rsid w:val="00760CA2"/>
    <w:rsid w:val="00762087"/>
    <w:rsid w:val="007A4A90"/>
    <w:rsid w:val="007C1BFD"/>
    <w:rsid w:val="00806E76"/>
    <w:rsid w:val="00817504"/>
    <w:rsid w:val="008408FE"/>
    <w:rsid w:val="00886FC7"/>
    <w:rsid w:val="00897F4B"/>
    <w:rsid w:val="008F1E61"/>
    <w:rsid w:val="00944610"/>
    <w:rsid w:val="00964158"/>
    <w:rsid w:val="00982D0B"/>
    <w:rsid w:val="009D6AA4"/>
    <w:rsid w:val="00A053CE"/>
    <w:rsid w:val="00A36E64"/>
    <w:rsid w:val="00AB78F9"/>
    <w:rsid w:val="00AC23CD"/>
    <w:rsid w:val="00AD2369"/>
    <w:rsid w:val="00B11CBF"/>
    <w:rsid w:val="00BD14BC"/>
    <w:rsid w:val="00C22EB5"/>
    <w:rsid w:val="00C27756"/>
    <w:rsid w:val="00C35D74"/>
    <w:rsid w:val="00C7282B"/>
    <w:rsid w:val="00C763D0"/>
    <w:rsid w:val="00C87898"/>
    <w:rsid w:val="00CA42E1"/>
    <w:rsid w:val="00CD4FD4"/>
    <w:rsid w:val="00CD6AD0"/>
    <w:rsid w:val="00D126ED"/>
    <w:rsid w:val="00D72BB1"/>
    <w:rsid w:val="00D75712"/>
    <w:rsid w:val="00D946B4"/>
    <w:rsid w:val="00DA64C1"/>
    <w:rsid w:val="00DE5559"/>
    <w:rsid w:val="00E05BAE"/>
    <w:rsid w:val="00E22F9D"/>
    <w:rsid w:val="00E51720"/>
    <w:rsid w:val="00E95A5C"/>
    <w:rsid w:val="00EA12DC"/>
    <w:rsid w:val="00EB19AC"/>
    <w:rsid w:val="00EC6341"/>
    <w:rsid w:val="00F1539D"/>
    <w:rsid w:val="00F16956"/>
    <w:rsid w:val="00F32F77"/>
    <w:rsid w:val="00FC08C8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table" w:customStyle="1" w:styleId="Tabelacomgrade1">
    <w:name w:val="Tabela com grade1"/>
    <w:basedOn w:val="Tabelanormal"/>
    <w:next w:val="Tabelacomgrade"/>
    <w:uiPriority w:val="39"/>
    <w:rsid w:val="00E5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64C1"/>
    <w:rPr>
      <w:color w:val="0000FF"/>
      <w:u w:val="single"/>
    </w:rPr>
  </w:style>
  <w:style w:type="paragraph" w:customStyle="1" w:styleId="itemnivel2">
    <w:name w:val="item_nivel2"/>
    <w:basedOn w:val="Normal"/>
    <w:rsid w:val="00DA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3390</Words>
  <Characters>18308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8</cp:revision>
  <dcterms:created xsi:type="dcterms:W3CDTF">2025-02-06T20:23:00Z</dcterms:created>
  <dcterms:modified xsi:type="dcterms:W3CDTF">2025-03-21T17:34:00Z</dcterms:modified>
</cp:coreProperties>
</file>